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FBB" w:rsidRDefault="007B067F" w:rsidP="007B067F">
      <w:pPr>
        <w:pStyle w:val="Title"/>
        <w:tabs>
          <w:tab w:val="left" w:pos="8490"/>
        </w:tabs>
      </w:pPr>
      <w:r w:rsidRPr="007B067F">
        <w:t>Eltham Town Centre Design Guidelines</w:t>
      </w:r>
    </w:p>
    <w:p w:rsidR="007B067F" w:rsidRDefault="007B067F" w:rsidP="007B067F">
      <w:pPr>
        <w:pStyle w:val="Heading4"/>
      </w:pPr>
      <w:r w:rsidRPr="007B067F">
        <w:t>PART B - Transport Hub (Precinct 3) Design Guidelines</w:t>
      </w:r>
    </w:p>
    <w:p w:rsidR="007B067F" w:rsidRDefault="007B067F" w:rsidP="007B067F">
      <w:r>
        <w:t>F</w:t>
      </w:r>
      <w:r w:rsidRPr="007B067F">
        <w:t xml:space="preserve">inal </w:t>
      </w:r>
      <w:r>
        <w:t>-</w:t>
      </w:r>
      <w:r w:rsidRPr="007B067F">
        <w:t xml:space="preserve"> </w:t>
      </w:r>
      <w:r>
        <w:t>F</w:t>
      </w:r>
      <w:r w:rsidRPr="007B067F">
        <w:t>ebruary 2014</w:t>
      </w:r>
    </w:p>
    <w:p w:rsidR="007B067F" w:rsidRDefault="007B067F" w:rsidP="007B067F">
      <w:r>
        <w:rPr>
          <w:noProof/>
          <w:lang w:eastAsia="en-AU"/>
        </w:rPr>
        <w:drawing>
          <wp:inline distT="0" distB="0" distL="0" distR="0">
            <wp:extent cx="6120130" cy="4295775"/>
            <wp:effectExtent l="0" t="0" r="0" b="9525"/>
            <wp:docPr id="3" name="Picture 3" descr="This image is of the Transport Hub in Eltham Town Centre" title="Transport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ort hu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7F" w:rsidRDefault="007B067F">
      <w:r>
        <w:br w:type="page"/>
      </w:r>
    </w:p>
    <w:p w:rsidR="007B067F" w:rsidRDefault="007B067F" w:rsidP="007B067F">
      <w:pPr>
        <w:pStyle w:val="Heading4"/>
      </w:pPr>
      <w:r w:rsidRPr="007B067F">
        <w:lastRenderedPageBreak/>
        <w:t>PART B – Transport Hub Design Guidelines</w:t>
      </w:r>
    </w:p>
    <w:p w:rsidR="007B067F" w:rsidRPr="007B067F" w:rsidRDefault="007B067F" w:rsidP="007B067F">
      <w:pPr>
        <w:pStyle w:val="Heading5"/>
      </w:pPr>
      <w:r>
        <w:t>1.1</w:t>
      </w:r>
      <w:r>
        <w:tab/>
      </w:r>
      <w:r w:rsidRPr="007B067F">
        <w:t>The Transport Hub</w:t>
      </w:r>
    </w:p>
    <w:p w:rsidR="007B067F" w:rsidRPr="007B067F" w:rsidRDefault="007B067F" w:rsidP="007B067F">
      <w:r w:rsidRPr="007B067F">
        <w:t>The Transport Precinct is generally bounded by</w:t>
      </w:r>
      <w:r>
        <w:t xml:space="preserve"> </w:t>
      </w:r>
      <w:r w:rsidRPr="007B067F">
        <w:t>Youth Road to the west, Diamond Street to the</w:t>
      </w:r>
      <w:r>
        <w:t xml:space="preserve"> </w:t>
      </w:r>
      <w:r w:rsidRPr="007B067F">
        <w:t>north and Main Road to the east.</w:t>
      </w:r>
    </w:p>
    <w:p w:rsidR="007B067F" w:rsidRPr="007B067F" w:rsidRDefault="007B067F" w:rsidP="007B067F">
      <w:r w:rsidRPr="007B067F">
        <w:t>These Design Guidelines are intended to be used</w:t>
      </w:r>
      <w:r>
        <w:t xml:space="preserve"> </w:t>
      </w:r>
      <w:r w:rsidRPr="007B067F">
        <w:t>by anyone who is interested or involved in the</w:t>
      </w:r>
      <w:r>
        <w:t xml:space="preserve"> </w:t>
      </w:r>
      <w:r w:rsidRPr="007B067F">
        <w:t>planning and development process (landowners,</w:t>
      </w:r>
      <w:r>
        <w:t xml:space="preserve"> </w:t>
      </w:r>
      <w:r w:rsidRPr="007B067F">
        <w:t xml:space="preserve">designers, developers, community, Council </w:t>
      </w:r>
      <w:proofErr w:type="spellStart"/>
      <w:r w:rsidRPr="007B067F">
        <w:t>etc</w:t>
      </w:r>
      <w:proofErr w:type="spellEnd"/>
      <w:r w:rsidRPr="007B067F">
        <w:t>) to</w:t>
      </w:r>
      <w:r>
        <w:t xml:space="preserve"> </w:t>
      </w:r>
      <w:r w:rsidRPr="007B067F">
        <w:t>better understand how to suitably respond to</w:t>
      </w:r>
      <w:r>
        <w:t xml:space="preserve"> </w:t>
      </w:r>
      <w:r w:rsidRPr="007B067F">
        <w:t>local planning policies and design controls</w:t>
      </w:r>
      <w:r>
        <w:t xml:space="preserve"> </w:t>
      </w:r>
      <w:r w:rsidRPr="007B067F">
        <w:t>associated with the Eltham Town Centre.</w:t>
      </w:r>
    </w:p>
    <w:p w:rsidR="007B067F" w:rsidRPr="007B067F" w:rsidRDefault="007B067F" w:rsidP="007B067F">
      <w:r w:rsidRPr="007B067F">
        <w:t>A Design and Development Overlay (DDO6)</w:t>
      </w:r>
      <w:r>
        <w:t xml:space="preserve"> </w:t>
      </w:r>
      <w:r w:rsidRPr="007B067F">
        <w:t>applies to land within the Eltham Town Centre,</w:t>
      </w:r>
      <w:r>
        <w:t xml:space="preserve"> </w:t>
      </w:r>
      <w:r w:rsidRPr="007B067F">
        <w:t>which sets regulations and development</w:t>
      </w:r>
      <w:r>
        <w:t xml:space="preserve"> </w:t>
      </w:r>
      <w:r w:rsidRPr="007B067F">
        <w:t>expectations to realise the preferred character of</w:t>
      </w:r>
      <w:r>
        <w:t xml:space="preserve"> </w:t>
      </w:r>
      <w:r w:rsidRPr="007B067F">
        <w:t>the area. Use these design guideline documents</w:t>
      </w:r>
      <w:r>
        <w:t xml:space="preserve"> </w:t>
      </w:r>
      <w:r w:rsidRPr="007B067F">
        <w:t>to assist in the design phases for all new</w:t>
      </w:r>
      <w:r>
        <w:t xml:space="preserve"> </w:t>
      </w:r>
      <w:r w:rsidRPr="007B067F">
        <w:t>development within the Eltham Town Centre</w:t>
      </w:r>
      <w:r>
        <w:t xml:space="preserve"> </w:t>
      </w:r>
      <w:r w:rsidRPr="007B067F">
        <w:t>precincts.</w:t>
      </w:r>
    </w:p>
    <w:p w:rsidR="007B067F" w:rsidRPr="007B067F" w:rsidRDefault="007B067F" w:rsidP="007B067F">
      <w:r w:rsidRPr="007B067F">
        <w:t>The Eltham Town Centre Design Guidelines have</w:t>
      </w:r>
      <w:r>
        <w:t xml:space="preserve"> </w:t>
      </w:r>
      <w:r w:rsidRPr="007B067F">
        <w:t>been separated into 2 parts and include the</w:t>
      </w:r>
      <w:r>
        <w:t xml:space="preserve"> </w:t>
      </w:r>
      <w:r w:rsidRPr="007B067F">
        <w:t>following:</w:t>
      </w:r>
    </w:p>
    <w:p w:rsidR="007B067F" w:rsidRPr="007B067F" w:rsidRDefault="007B067F" w:rsidP="007B067F">
      <w:pPr>
        <w:rPr>
          <w:b/>
        </w:rPr>
      </w:pPr>
      <w:r w:rsidRPr="007B067F">
        <w:rPr>
          <w:b/>
        </w:rPr>
        <w:t>Part A: The General Design Guidelines (applicable to all land within the Eltham Town Centre Precincts)</w:t>
      </w:r>
    </w:p>
    <w:p w:rsidR="007B067F" w:rsidRDefault="007B067F" w:rsidP="007B067F">
      <w:r w:rsidRPr="007B067F">
        <w:t>The purpose of</w:t>
      </w:r>
      <w:r>
        <w:t xml:space="preserve"> the General Eltham Town Centre </w:t>
      </w:r>
      <w:r w:rsidRPr="007B067F">
        <w:t>Design Guidelines is to provide basic design</w:t>
      </w:r>
      <w:r>
        <w:t xml:space="preserve"> </w:t>
      </w:r>
      <w:r w:rsidRPr="007B067F">
        <w:t>directions for all development formats within the</w:t>
      </w:r>
      <w:r>
        <w:t xml:space="preserve"> </w:t>
      </w:r>
      <w:r w:rsidRPr="007B067F">
        <w:t>Eltham Town Centre boundary including new</w:t>
      </w:r>
      <w:r>
        <w:t xml:space="preserve"> </w:t>
      </w:r>
      <w:r w:rsidRPr="007B067F">
        <w:t>commercial, residential and community</w:t>
      </w:r>
      <w:r>
        <w:t xml:space="preserve"> </w:t>
      </w:r>
      <w:r w:rsidRPr="007B067F">
        <w:t>developments.</w:t>
      </w:r>
    </w:p>
    <w:p w:rsidR="007B067F" w:rsidRPr="007B067F" w:rsidRDefault="007B067F" w:rsidP="007B067F">
      <w:pPr>
        <w:rPr>
          <w:b/>
        </w:rPr>
      </w:pPr>
      <w:r w:rsidRPr="007B067F">
        <w:rPr>
          <w:b/>
        </w:rPr>
        <w:t>Part B: Precinct Design Guidelines (applicable to land located within the specified precinct boundary)</w:t>
      </w:r>
    </w:p>
    <w:p w:rsidR="007B067F" w:rsidRPr="007B067F" w:rsidRDefault="007B067F" w:rsidP="007B067F">
      <w:r w:rsidRPr="007B067F">
        <w:t>The purpose of the Precinct Design Guidelines is to provide specific guidance that supports the preferred character for the each</w:t>
      </w:r>
      <w:r>
        <w:t xml:space="preserve"> </w:t>
      </w:r>
      <w:r w:rsidRPr="007B067F">
        <w:t>precinct.</w:t>
      </w:r>
    </w:p>
    <w:p w:rsidR="007B067F" w:rsidRDefault="007B067F" w:rsidP="007B067F">
      <w:r w:rsidRPr="007B067F">
        <w:t xml:space="preserve">Note: All new development must have regard to both documents, PART </w:t>
      </w:r>
      <w:proofErr w:type="gramStart"/>
      <w:r w:rsidRPr="007B067F">
        <w:t>A</w:t>
      </w:r>
      <w:proofErr w:type="gramEnd"/>
      <w:r w:rsidRPr="007B067F">
        <w:t xml:space="preserve"> &amp; B respectively.</w:t>
      </w:r>
    </w:p>
    <w:p w:rsidR="007B067F" w:rsidRDefault="007B067F" w:rsidP="007B067F">
      <w:r>
        <w:rPr>
          <w:noProof/>
          <w:lang w:eastAsia="en-AU"/>
        </w:rPr>
        <w:lastRenderedPageBreak/>
        <w:drawing>
          <wp:inline distT="0" distB="0" distL="0" distR="0">
            <wp:extent cx="4409888" cy="4694830"/>
            <wp:effectExtent l="0" t="0" r="0" b="0"/>
            <wp:docPr id="5" name="Picture 5" descr="This image is a map of the Transport Hub in Eltham Town Centre" title="Transport Hub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ort hub map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"/>
                    <a:stretch/>
                  </pic:blipFill>
                  <pic:spPr bwMode="auto">
                    <a:xfrm>
                      <a:off x="0" y="0"/>
                      <a:ext cx="4415205" cy="470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67F" w:rsidRPr="007B067F" w:rsidRDefault="007B067F" w:rsidP="007B067F">
      <w:pPr>
        <w:pStyle w:val="Heading5"/>
      </w:pPr>
      <w:r>
        <w:t>1.2</w:t>
      </w:r>
      <w:r>
        <w:tab/>
      </w:r>
      <w:r w:rsidRPr="007B067F">
        <w:t>The Preferred Character</w:t>
      </w:r>
    </w:p>
    <w:p w:rsidR="007B067F" w:rsidRPr="007B067F" w:rsidRDefault="007B067F" w:rsidP="007B067F">
      <w:r w:rsidRPr="007B067F">
        <w:t>The preferred character for the Transport Precinct includes:</w:t>
      </w:r>
    </w:p>
    <w:p w:rsidR="007B067F" w:rsidRPr="007B067F" w:rsidRDefault="007B067F" w:rsidP="00FE1165">
      <w:pPr>
        <w:pStyle w:val="ListBullet"/>
      </w:pPr>
      <w:r w:rsidRPr="007B067F">
        <w:t>This area will provide additional opportunities for medium density housing and mixed use de</w:t>
      </w:r>
      <w:r>
        <w:t xml:space="preserve">velopments that are designed to </w:t>
      </w:r>
      <w:r w:rsidRPr="007B067F">
        <w:t>maintain the modest scale of Eltham and improve passive surveillance of adjoining public spaces.</w:t>
      </w:r>
    </w:p>
    <w:p w:rsidR="007B067F" w:rsidRPr="007B067F" w:rsidRDefault="007B067F" w:rsidP="00FE1165">
      <w:pPr>
        <w:pStyle w:val="ListBullet"/>
      </w:pPr>
      <w:r w:rsidRPr="007B067F">
        <w:t>The strong presence of native canopy trees will be maintained through careful siting and design of development.</w:t>
      </w:r>
    </w:p>
    <w:p w:rsidR="007B067F" w:rsidRPr="007B067F" w:rsidRDefault="007B067F" w:rsidP="007B067F">
      <w:pPr>
        <w:pStyle w:val="Heading5"/>
      </w:pPr>
      <w:r>
        <w:t>1.3</w:t>
      </w:r>
      <w:r>
        <w:tab/>
      </w:r>
      <w:r w:rsidRPr="007B067F">
        <w:t>Precinct Design Objectives</w:t>
      </w:r>
    </w:p>
    <w:p w:rsidR="007B067F" w:rsidRPr="007B067F" w:rsidRDefault="007B067F" w:rsidP="007B067F">
      <w:pPr>
        <w:pStyle w:val="ListBullet"/>
      </w:pPr>
      <w:r w:rsidRPr="007B067F">
        <w:t>To encourage the creation of active edges fronting Main Road and the railway area that prov</w:t>
      </w:r>
      <w:r>
        <w:t xml:space="preserve">ides safe and convenient access </w:t>
      </w:r>
      <w:r w:rsidRPr="007B067F">
        <w:t>between community facilities in the south and public transport facilities.</w:t>
      </w:r>
    </w:p>
    <w:p w:rsidR="007B067F" w:rsidRPr="007B067F" w:rsidRDefault="007B067F" w:rsidP="007B067F">
      <w:pPr>
        <w:pStyle w:val="ListBullet"/>
      </w:pPr>
      <w:r w:rsidRPr="007B067F">
        <w:t>To encourage medium density housing.</w:t>
      </w:r>
    </w:p>
    <w:p w:rsidR="00FE1165" w:rsidRDefault="007B067F" w:rsidP="00FE1165">
      <w:pPr>
        <w:pStyle w:val="ListBullet"/>
      </w:pPr>
      <w:r w:rsidRPr="007B067F">
        <w:t>To ensure that future development maintains and enhances the functionality of the precinct as a commuter hub.</w:t>
      </w:r>
    </w:p>
    <w:p w:rsidR="00FE1165" w:rsidRDefault="00FE1165">
      <w:r>
        <w:br w:type="page"/>
      </w:r>
    </w:p>
    <w:p w:rsidR="00FE1165" w:rsidRDefault="00FE1165" w:rsidP="00FE1165">
      <w:pPr>
        <w:pStyle w:val="Heading4"/>
      </w:pPr>
      <w:r w:rsidRPr="00FE1165">
        <w:lastRenderedPageBreak/>
        <w:t>PART B – Site Design Guidelines</w:t>
      </w:r>
    </w:p>
    <w:p w:rsidR="00FE1165" w:rsidRDefault="00FE1165" w:rsidP="00FE1165">
      <w:pPr>
        <w:pStyle w:val="Heading5"/>
      </w:pPr>
      <w:r w:rsidRPr="00FE1165">
        <w:t>SD02: Vegetation (cont.)</w:t>
      </w:r>
    </w:p>
    <w:p w:rsidR="00FE1165" w:rsidRPr="00FE1165" w:rsidRDefault="00FE1165" w:rsidP="00FE1165">
      <w:pPr>
        <w:rPr>
          <w:b/>
        </w:rPr>
      </w:pPr>
      <w:r w:rsidRPr="00FE1165">
        <w:rPr>
          <w:b/>
        </w:rPr>
        <w:t>Design Guidelines and Directions:</w:t>
      </w:r>
    </w:p>
    <w:p w:rsidR="00FE1165" w:rsidRDefault="00FE1165" w:rsidP="00FE1165">
      <w:pPr>
        <w:pStyle w:val="ListNumber2"/>
      </w:pPr>
      <w:r w:rsidRPr="00FE1165">
        <w:t>Development should incorpor</w:t>
      </w:r>
      <w:r>
        <w:t xml:space="preserve">ate existing large native trees </w:t>
      </w:r>
      <w:r w:rsidRPr="00FE1165">
        <w:t>where possible. Clustering of development thus creating</w:t>
      </w:r>
      <w:r>
        <w:t xml:space="preserve"> </w:t>
      </w:r>
      <w:r w:rsidRPr="00FE1165">
        <w:t>courtyards or setbacks for landscaping is encouraged.</w:t>
      </w:r>
    </w:p>
    <w:p w:rsidR="00FE1165" w:rsidRDefault="00FE1165" w:rsidP="00FE1165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14197" cy="3725838"/>
            <wp:effectExtent l="0" t="0" r="1270" b="8255"/>
            <wp:docPr id="6" name="Picture 6" descr="This image represents the Design Guidelines and Directions for the Vegetation in the Transport Hub of Eltham Town Centre" title="Vege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tio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75"/>
                    <a:stretch/>
                  </pic:blipFill>
                  <pic:spPr bwMode="auto">
                    <a:xfrm>
                      <a:off x="0" y="0"/>
                      <a:ext cx="6120130" cy="372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165" w:rsidRDefault="00FE1165" w:rsidP="00FE1165">
      <w:pPr>
        <w:pStyle w:val="Heading5"/>
      </w:pPr>
      <w:r w:rsidRPr="00FE1165">
        <w:t>SD04: Streetscape Pattern (cont.)</w:t>
      </w:r>
    </w:p>
    <w:p w:rsidR="00FE1165" w:rsidRPr="00FE1165" w:rsidRDefault="00FE1165" w:rsidP="00FE1165">
      <w:pPr>
        <w:rPr>
          <w:b/>
        </w:rPr>
      </w:pPr>
      <w:r w:rsidRPr="00FE1165">
        <w:rPr>
          <w:b/>
        </w:rPr>
        <w:t>Design Guidelines and Directions:</w:t>
      </w:r>
    </w:p>
    <w:p w:rsidR="00FE1165" w:rsidRDefault="00FE1165" w:rsidP="002734D3">
      <w:pPr>
        <w:pStyle w:val="ListNumber2"/>
      </w:pPr>
      <w:r w:rsidRPr="00FE1165">
        <w:t>Development with a front</w:t>
      </w:r>
      <w:r>
        <w:t xml:space="preserve">age to Main Road should provide </w:t>
      </w:r>
      <w:r w:rsidRPr="00FE1165">
        <w:t>a minimum 5.5metre front setback at ground level.</w:t>
      </w:r>
    </w:p>
    <w:p w:rsidR="00FE1165" w:rsidRPr="00FE1165" w:rsidRDefault="00FE1165" w:rsidP="002734D3">
      <w:pPr>
        <w:pStyle w:val="ListNumber2"/>
      </w:pPr>
      <w:r w:rsidRPr="00FE1165">
        <w:t>Development fronting Youth Road and Diamond Street</w:t>
      </w:r>
      <w:r>
        <w:t xml:space="preserve"> </w:t>
      </w:r>
      <w:r w:rsidRPr="00FE1165">
        <w:t>should provide landscaped front building setback of a</w:t>
      </w:r>
      <w:r>
        <w:t xml:space="preserve"> </w:t>
      </w:r>
      <w:r w:rsidRPr="00FE1165">
        <w:t>minimum of 5.5metres fr</w:t>
      </w:r>
      <w:r>
        <w:t xml:space="preserve">om the roadside kerbs at ground </w:t>
      </w:r>
      <w:r w:rsidRPr="00FE1165">
        <w:t>level.</w:t>
      </w:r>
    </w:p>
    <w:p w:rsidR="00FE1165" w:rsidRPr="00FE1165" w:rsidRDefault="00FE1165" w:rsidP="002734D3">
      <w:pPr>
        <w:pStyle w:val="ListNumber2"/>
      </w:pPr>
      <w:r w:rsidRPr="00FE1165">
        <w:t>New developments should in</w:t>
      </w:r>
      <w:r>
        <w:t xml:space="preserve">corporate feature architectural </w:t>
      </w:r>
      <w:r w:rsidRPr="00FE1165">
        <w:t>or landscape features at exposed locations as viewed from</w:t>
      </w:r>
      <w:r>
        <w:t xml:space="preserve"> </w:t>
      </w:r>
      <w:r w:rsidRPr="00FE1165">
        <w:t>Main Road (north) and ax</w:t>
      </w:r>
      <w:r>
        <w:t xml:space="preserve">ial views available from east – </w:t>
      </w:r>
      <w:r w:rsidRPr="00FE1165">
        <w:t>west running streets, namel</w:t>
      </w:r>
      <w:r>
        <w:t xml:space="preserve">y Luck Street, Pryor Street and </w:t>
      </w:r>
      <w:r w:rsidRPr="00FE1165">
        <w:t>Diamond Street.</w:t>
      </w:r>
    </w:p>
    <w:p w:rsidR="00FE1165" w:rsidRDefault="00FE1165" w:rsidP="002734D3">
      <w:pPr>
        <w:pStyle w:val="ListNumber2"/>
      </w:pPr>
      <w:r w:rsidRPr="00FE1165">
        <w:t>Development fronting Mai</w:t>
      </w:r>
      <w:r w:rsidR="002734D3">
        <w:t xml:space="preserve">n Road and the east side of the </w:t>
      </w:r>
      <w:r w:rsidRPr="00FE1165">
        <w:t>public transport interchange should provide active uses and</w:t>
      </w:r>
      <w:r w:rsidR="002734D3">
        <w:t xml:space="preserve"> </w:t>
      </w:r>
      <w:r w:rsidRPr="00FE1165">
        <w:t>frontages at ground level.</w:t>
      </w:r>
    </w:p>
    <w:p w:rsidR="002734D3" w:rsidRDefault="002734D3" w:rsidP="002734D3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6114197" cy="4544705"/>
            <wp:effectExtent l="0" t="0" r="1270" b="8255"/>
            <wp:docPr id="7" name="Picture 7" descr="This image represents the Design Guidelines and Directions for the Streetscape Pattern in the Transport Hub of Eltham Town Centre" title="Streetscape Patter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etscape patter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2"/>
                    <a:stretch/>
                  </pic:blipFill>
                  <pic:spPr bwMode="auto">
                    <a:xfrm>
                      <a:off x="0" y="0"/>
                      <a:ext cx="6120130" cy="454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4D3" w:rsidRDefault="002734D3" w:rsidP="002734D3">
      <w:pPr>
        <w:pStyle w:val="Heading5"/>
      </w:pPr>
      <w:r w:rsidRPr="002734D3">
        <w:t>SD05: Functionality (cont.)</w:t>
      </w:r>
    </w:p>
    <w:p w:rsidR="002734D3" w:rsidRPr="002734D3" w:rsidRDefault="002734D3" w:rsidP="002734D3">
      <w:pPr>
        <w:rPr>
          <w:b/>
        </w:rPr>
      </w:pPr>
      <w:r w:rsidRPr="002734D3">
        <w:rPr>
          <w:b/>
        </w:rPr>
        <w:t>Design Guidelines and Directions:</w:t>
      </w:r>
    </w:p>
    <w:p w:rsidR="002734D3" w:rsidRPr="002734D3" w:rsidRDefault="002734D3" w:rsidP="002734D3">
      <w:pPr>
        <w:pStyle w:val="ListNumber2"/>
      </w:pPr>
      <w:r w:rsidRPr="002734D3">
        <w:t>Level changes should be accommodated within buildings so that minimal changes of level occur in the public domain.</w:t>
      </w:r>
    </w:p>
    <w:p w:rsidR="002734D3" w:rsidRPr="002734D3" w:rsidRDefault="002734D3" w:rsidP="002734D3">
      <w:pPr>
        <w:pStyle w:val="ListNumber2"/>
      </w:pPr>
      <w:r w:rsidRPr="002734D3">
        <w:t>Incorporate public access ways to improve east-west links between Main Road, Eltham Station and sporting facilities.</w:t>
      </w:r>
    </w:p>
    <w:p w:rsidR="002734D3" w:rsidRDefault="002734D3" w:rsidP="002734D3">
      <w:pPr>
        <w:pStyle w:val="ListNumber2"/>
      </w:pPr>
      <w:r w:rsidRPr="002734D3">
        <w:t>Building adjacent to the railways should incorporate noise abatements measures to reduce amenity impacts.</w:t>
      </w:r>
    </w:p>
    <w:p w:rsidR="002734D3" w:rsidRDefault="002734D3" w:rsidP="002734D3">
      <w:pPr>
        <w:pStyle w:val="Heading4"/>
      </w:pPr>
      <w:r w:rsidRPr="002734D3">
        <w:t>PART B – Building Design Guidelines</w:t>
      </w:r>
    </w:p>
    <w:p w:rsidR="002734D3" w:rsidRDefault="002734D3" w:rsidP="002734D3">
      <w:pPr>
        <w:pStyle w:val="Heading5"/>
      </w:pPr>
      <w:r w:rsidRPr="002734D3">
        <w:t xml:space="preserve">BD01: </w:t>
      </w:r>
      <w:r>
        <w:t>Building Height and</w:t>
      </w:r>
      <w:r w:rsidRPr="002734D3">
        <w:t xml:space="preserve"> Form (</w:t>
      </w:r>
      <w:proofErr w:type="spellStart"/>
      <w:r w:rsidRPr="002734D3">
        <w:t>cont</w:t>
      </w:r>
      <w:proofErr w:type="spellEnd"/>
      <w:r w:rsidRPr="002734D3">
        <w:t>)</w:t>
      </w:r>
    </w:p>
    <w:p w:rsidR="002734D3" w:rsidRPr="002734D3" w:rsidRDefault="002734D3" w:rsidP="002734D3">
      <w:pPr>
        <w:rPr>
          <w:b/>
        </w:rPr>
      </w:pPr>
      <w:r w:rsidRPr="002734D3">
        <w:rPr>
          <w:b/>
        </w:rPr>
        <w:t>Design Guidelines and Directions:</w:t>
      </w:r>
    </w:p>
    <w:p w:rsidR="002734D3" w:rsidRPr="002734D3" w:rsidRDefault="002734D3" w:rsidP="002734D3">
      <w:pPr>
        <w:pStyle w:val="ListNumber2"/>
      </w:pPr>
      <w:r w:rsidRPr="002734D3">
        <w:t>Overall building height i</w:t>
      </w:r>
      <w:r>
        <w:t xml:space="preserve">n any part of the precinct must </w:t>
      </w:r>
      <w:r w:rsidRPr="002734D3">
        <w:t>not exceed 5 storeys (17.5 metres).</w:t>
      </w:r>
    </w:p>
    <w:p w:rsidR="002734D3" w:rsidRPr="002734D3" w:rsidRDefault="002734D3" w:rsidP="002734D3">
      <w:pPr>
        <w:pStyle w:val="ListNumber2"/>
      </w:pPr>
      <w:r w:rsidRPr="002734D3">
        <w:t>The development in a</w:t>
      </w:r>
      <w:r>
        <w:t xml:space="preserve">ny part of the precinct should </w:t>
      </w:r>
      <w:r w:rsidRPr="002734D3">
        <w:t>provide a minimum of 5.5m street setback from roadside</w:t>
      </w:r>
      <w:r>
        <w:t xml:space="preserve"> </w:t>
      </w:r>
      <w:r w:rsidRPr="002734D3">
        <w:t>kerbs.</w:t>
      </w:r>
    </w:p>
    <w:p w:rsidR="002734D3" w:rsidRPr="002734D3" w:rsidRDefault="002734D3" w:rsidP="002734D3">
      <w:pPr>
        <w:pStyle w:val="ListNumber2"/>
      </w:pPr>
      <w:r w:rsidRPr="002734D3">
        <w:lastRenderedPageBreak/>
        <w:t>Building height on sites within Sub-precinct 3A frontage</w:t>
      </w:r>
      <w:r>
        <w:t xml:space="preserve"> </w:t>
      </w:r>
      <w:r w:rsidRPr="002734D3">
        <w:t>should not exceed a maximum of 5 storeys (17.5 metres)</w:t>
      </w:r>
      <w:r>
        <w:t xml:space="preserve"> </w:t>
      </w:r>
      <w:r w:rsidRPr="002734D3">
        <w:t>and the third storey should be recessed a minimum of 3</w:t>
      </w:r>
      <w:r>
        <w:t xml:space="preserve"> </w:t>
      </w:r>
      <w:r w:rsidRPr="002734D3">
        <w:t>metres from the first storey wall on any street frontage.</w:t>
      </w:r>
      <w:r>
        <w:t xml:space="preserve"> </w:t>
      </w:r>
      <w:r w:rsidRPr="002734D3">
        <w:t>The final storey should be restricted to roof space only.</w:t>
      </w:r>
    </w:p>
    <w:p w:rsidR="002734D3" w:rsidRPr="002734D3" w:rsidRDefault="002734D3" w:rsidP="002734D3">
      <w:pPr>
        <w:pStyle w:val="ListNumber2"/>
      </w:pPr>
      <w:r w:rsidRPr="002734D3">
        <w:t>Building heights within</w:t>
      </w:r>
      <w:r>
        <w:t xml:space="preserve"> Sub-precincts 3B and 3D should </w:t>
      </w:r>
      <w:r w:rsidRPr="002734D3">
        <w:t>not exceed a maximum of 4 storeys (14.0m) and the</w:t>
      </w:r>
      <w:r>
        <w:t xml:space="preserve"> </w:t>
      </w:r>
      <w:r w:rsidRPr="002734D3">
        <w:t>third storey should be setback a minimum of 3 metres</w:t>
      </w:r>
      <w:r>
        <w:t xml:space="preserve"> </w:t>
      </w:r>
      <w:r w:rsidRPr="002734D3">
        <w:t>from the first floor frontage. The fourth storey</w:t>
      </w:r>
      <w:r>
        <w:t xml:space="preserve"> </w:t>
      </w:r>
      <w:r w:rsidRPr="002734D3">
        <w:t>development is only permitted to be in the roof space.</w:t>
      </w:r>
    </w:p>
    <w:p w:rsidR="002734D3" w:rsidRPr="002734D3" w:rsidRDefault="002734D3" w:rsidP="002734D3">
      <w:pPr>
        <w:pStyle w:val="ListNumber2"/>
      </w:pPr>
      <w:r w:rsidRPr="002734D3">
        <w:t>Building height on site</w:t>
      </w:r>
      <w:r>
        <w:t xml:space="preserve">s within Sub-precinct 3C should </w:t>
      </w:r>
      <w:r w:rsidRPr="002734D3">
        <w:t>not exceed a maximum of 3 storeys (10.5 metres) and</w:t>
      </w:r>
      <w:r>
        <w:t xml:space="preserve"> </w:t>
      </w:r>
      <w:r w:rsidRPr="002734D3">
        <w:t>the third storey must be recessed a minimum of three</w:t>
      </w:r>
      <w:r>
        <w:t xml:space="preserve"> </w:t>
      </w:r>
      <w:r w:rsidRPr="002734D3">
        <w:t>metres from the first storey wall on any street frontage.</w:t>
      </w:r>
      <w:r>
        <w:t xml:space="preserve"> </w:t>
      </w:r>
      <w:r w:rsidRPr="002734D3">
        <w:t>Development fronting Youth Road and Diamond Street</w:t>
      </w:r>
      <w:r>
        <w:t xml:space="preserve"> </w:t>
      </w:r>
      <w:r w:rsidRPr="002734D3">
        <w:t>must have landscaped front building setbacks.</w:t>
      </w:r>
    </w:p>
    <w:p w:rsidR="002734D3" w:rsidRDefault="002734D3" w:rsidP="002734D3">
      <w:pPr>
        <w:pStyle w:val="ListNumber2"/>
      </w:pPr>
      <w:r w:rsidRPr="002734D3">
        <w:t>Developments to the w</w:t>
      </w:r>
      <w:r>
        <w:t xml:space="preserve">estern side of the railway line </w:t>
      </w:r>
      <w:r w:rsidRPr="002734D3">
        <w:t>should provide a transition with community uses along</w:t>
      </w:r>
      <w:r>
        <w:t xml:space="preserve"> </w:t>
      </w:r>
      <w:r w:rsidRPr="002734D3">
        <w:t>Diamond Street and Youth Road.</w:t>
      </w:r>
    </w:p>
    <w:p w:rsidR="002734D3" w:rsidRDefault="002734D3" w:rsidP="002734D3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4244454" cy="7135065"/>
            <wp:effectExtent l="0" t="0" r="3810" b="8890"/>
            <wp:docPr id="8" name="Picture 8" descr="This image represents the Design Guidelines and Directions for the Building Height and Form in the Transport Hub of Eltham Town Centre" title="Building Height and For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heigh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396" cy="713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D3" w:rsidRDefault="002734D3" w:rsidP="002734D3">
      <w:pPr>
        <w:pStyle w:val="Heading5"/>
      </w:pPr>
      <w:r w:rsidRPr="002734D3">
        <w:t xml:space="preserve">BD02: </w:t>
      </w:r>
      <w:r>
        <w:t>Building Style and</w:t>
      </w:r>
      <w:r w:rsidRPr="002734D3">
        <w:t xml:space="preserve"> Façade Composition (</w:t>
      </w:r>
      <w:proofErr w:type="spellStart"/>
      <w:r w:rsidRPr="002734D3">
        <w:t>cont</w:t>
      </w:r>
      <w:proofErr w:type="spellEnd"/>
      <w:r w:rsidRPr="002734D3">
        <w:t>)</w:t>
      </w:r>
    </w:p>
    <w:p w:rsidR="002734D3" w:rsidRPr="002734D3" w:rsidRDefault="002734D3" w:rsidP="002734D3">
      <w:pPr>
        <w:rPr>
          <w:b/>
        </w:rPr>
      </w:pPr>
      <w:r w:rsidRPr="002734D3">
        <w:rPr>
          <w:b/>
        </w:rPr>
        <w:t>Design Guidelines and Directions:</w:t>
      </w:r>
    </w:p>
    <w:p w:rsidR="002734D3" w:rsidRPr="002734D3" w:rsidRDefault="002734D3" w:rsidP="002734D3">
      <w:pPr>
        <w:pStyle w:val="ListNumber2"/>
      </w:pPr>
      <w:r w:rsidRPr="002734D3">
        <w:t>New development fr</w:t>
      </w:r>
      <w:r>
        <w:t xml:space="preserve">onting Main Road should provide </w:t>
      </w:r>
      <w:r w:rsidRPr="002734D3">
        <w:t>articulate facades that relate with the fine grain shopping</w:t>
      </w:r>
      <w:r>
        <w:t xml:space="preserve"> </w:t>
      </w:r>
      <w:r w:rsidRPr="002734D3">
        <w:t>strip opposite. Incorporate vertical features of similar</w:t>
      </w:r>
      <w:r>
        <w:t xml:space="preserve"> </w:t>
      </w:r>
      <w:r w:rsidRPr="002734D3">
        <w:t>proportions with the streetscape.</w:t>
      </w:r>
    </w:p>
    <w:p w:rsidR="002734D3" w:rsidRPr="002734D3" w:rsidRDefault="002734D3" w:rsidP="002734D3">
      <w:pPr>
        <w:pStyle w:val="ListNumber2"/>
      </w:pPr>
      <w:r w:rsidRPr="002734D3">
        <w:lastRenderedPageBreak/>
        <w:t>Developments to the western side of the railway line should</w:t>
      </w:r>
      <w:r>
        <w:t xml:space="preserve"> </w:t>
      </w:r>
      <w:r w:rsidRPr="002734D3">
        <w:t>reflect a transition with existing community developments</w:t>
      </w:r>
      <w:r>
        <w:t xml:space="preserve"> </w:t>
      </w:r>
      <w:r w:rsidRPr="002734D3">
        <w:t>along Diamond Street an</w:t>
      </w:r>
      <w:r>
        <w:t xml:space="preserve">d parklands opposite. Design </w:t>
      </w:r>
      <w:r w:rsidRPr="002734D3">
        <w:t>buildings to offer a domestic appearance.</w:t>
      </w:r>
    </w:p>
    <w:p w:rsidR="002734D3" w:rsidRPr="002734D3" w:rsidRDefault="002734D3" w:rsidP="002734D3">
      <w:pPr>
        <w:pStyle w:val="ListNumber2"/>
      </w:pPr>
      <w:r w:rsidRPr="002734D3">
        <w:t>The design of the building</w:t>
      </w:r>
      <w:r>
        <w:t xml:space="preserve">s backing onto the railway line </w:t>
      </w:r>
      <w:r w:rsidRPr="002734D3">
        <w:t>and the train station car parks should present interesting</w:t>
      </w:r>
      <w:r>
        <w:t xml:space="preserve"> </w:t>
      </w:r>
      <w:r w:rsidRPr="002734D3">
        <w:t>façade treatments.</w:t>
      </w:r>
    </w:p>
    <w:p w:rsidR="002734D3" w:rsidRPr="002734D3" w:rsidRDefault="002734D3" w:rsidP="002734D3">
      <w:pPr>
        <w:pStyle w:val="ListNumber2"/>
      </w:pPr>
      <w:r w:rsidRPr="002734D3">
        <w:t>The design and presentation of buildings ba</w:t>
      </w:r>
      <w:r>
        <w:t xml:space="preserve">cking onto the </w:t>
      </w:r>
      <w:r w:rsidRPr="002734D3">
        <w:t>railway line and train station car park should;</w:t>
      </w:r>
    </w:p>
    <w:p w:rsidR="002734D3" w:rsidRPr="002734D3" w:rsidRDefault="002734D3" w:rsidP="002734D3">
      <w:pPr>
        <w:pStyle w:val="ListBullet"/>
        <w:ind w:left="717"/>
      </w:pPr>
      <w:r w:rsidRPr="002734D3">
        <w:t>present as an int</w:t>
      </w:r>
      <w:r>
        <w:t xml:space="preserve">eresting façade through varying </w:t>
      </w:r>
      <w:r w:rsidRPr="002734D3">
        <w:t>textures and finishes</w:t>
      </w:r>
    </w:p>
    <w:p w:rsidR="002734D3" w:rsidRPr="002734D3" w:rsidRDefault="002734D3" w:rsidP="002734D3">
      <w:pPr>
        <w:pStyle w:val="ListBullet"/>
        <w:ind w:left="717"/>
      </w:pPr>
      <w:r w:rsidRPr="002734D3">
        <w:t>allow for passive surveil</w:t>
      </w:r>
      <w:r>
        <w:t xml:space="preserve">lance to occur through locating </w:t>
      </w:r>
      <w:r w:rsidRPr="002734D3">
        <w:t>active areas/ glazing towards the rear</w:t>
      </w:r>
    </w:p>
    <w:p w:rsidR="002734D3" w:rsidRPr="002734D3" w:rsidRDefault="002734D3" w:rsidP="002734D3">
      <w:pPr>
        <w:pStyle w:val="ListBullet"/>
        <w:ind w:left="717"/>
      </w:pPr>
      <w:r w:rsidRPr="002734D3">
        <w:t>reduce broad areas of a</w:t>
      </w:r>
      <w:r>
        <w:t xml:space="preserve"> single surface finish to deter </w:t>
      </w:r>
      <w:r w:rsidRPr="002734D3">
        <w:t>graffiti</w:t>
      </w:r>
    </w:p>
    <w:p w:rsidR="002734D3" w:rsidRPr="002734D3" w:rsidRDefault="002734D3" w:rsidP="002734D3">
      <w:pPr>
        <w:pStyle w:val="ListBullet"/>
        <w:ind w:left="717"/>
      </w:pPr>
      <w:r w:rsidRPr="002734D3">
        <w:t>incorporate vegetative or architectural screening devices</w:t>
      </w:r>
    </w:p>
    <w:p w:rsidR="002734D3" w:rsidRDefault="002734D3" w:rsidP="002734D3">
      <w:pPr>
        <w:pStyle w:val="ListBullet"/>
        <w:ind w:left="717"/>
      </w:pPr>
      <w:r w:rsidRPr="002734D3">
        <w:t>ensure design measur</w:t>
      </w:r>
      <w:r>
        <w:t xml:space="preserve">es are in place to reduce noise </w:t>
      </w:r>
      <w:r w:rsidRPr="002734D3">
        <w:t>impacts</w:t>
      </w:r>
    </w:p>
    <w:p w:rsidR="002734D3" w:rsidRDefault="002734D3" w:rsidP="002734D3">
      <w:pPr>
        <w:pStyle w:val="ListBullet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4245270" cy="6810233"/>
            <wp:effectExtent l="0" t="0" r="3175" b="0"/>
            <wp:docPr id="9" name="Picture 9" descr="This image represents the Design Guidelines and Directions for the Building Style and Façade Composition in the Transport Hub of Eltham Town Centre" title="Building Style and Façade Composi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sty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744" cy="68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D3" w:rsidRDefault="002734D3" w:rsidP="002734D3">
      <w:pPr>
        <w:pStyle w:val="Heading4"/>
      </w:pPr>
      <w:r w:rsidRPr="002734D3">
        <w:t>PART B – Building Context Guidelines</w:t>
      </w:r>
    </w:p>
    <w:p w:rsidR="002734D3" w:rsidRDefault="002734D3" w:rsidP="002734D3">
      <w:pPr>
        <w:pStyle w:val="Heading5"/>
      </w:pPr>
      <w:r w:rsidRPr="002734D3">
        <w:t xml:space="preserve">BC01: </w:t>
      </w:r>
      <w:r>
        <w:t>Access and</w:t>
      </w:r>
      <w:r w:rsidRPr="002734D3">
        <w:t xml:space="preserve"> Parking (</w:t>
      </w:r>
      <w:proofErr w:type="spellStart"/>
      <w:r w:rsidRPr="002734D3">
        <w:t>cont</w:t>
      </w:r>
      <w:proofErr w:type="spellEnd"/>
      <w:r w:rsidRPr="002734D3">
        <w:t>)</w:t>
      </w:r>
    </w:p>
    <w:p w:rsidR="002734D3" w:rsidRPr="002734D3" w:rsidRDefault="002734D3" w:rsidP="002734D3">
      <w:pPr>
        <w:rPr>
          <w:b/>
        </w:rPr>
      </w:pPr>
      <w:r w:rsidRPr="002734D3">
        <w:rPr>
          <w:b/>
        </w:rPr>
        <w:t>Design Guidelines and Directions:</w:t>
      </w:r>
    </w:p>
    <w:p w:rsidR="002734D3" w:rsidRPr="002734D3" w:rsidRDefault="002734D3" w:rsidP="002734D3">
      <w:pPr>
        <w:pStyle w:val="ListNumber2"/>
      </w:pPr>
      <w:r w:rsidRPr="002734D3">
        <w:t>New development should utili</w:t>
      </w:r>
      <w:r>
        <w:t xml:space="preserve">se existing road infrastructure </w:t>
      </w:r>
      <w:r w:rsidRPr="002734D3">
        <w:t>and avoid the creation of unnecessary vehicle access</w:t>
      </w:r>
      <w:r>
        <w:t xml:space="preserve"> </w:t>
      </w:r>
      <w:r w:rsidRPr="002734D3">
        <w:t>ways.</w:t>
      </w:r>
    </w:p>
    <w:p w:rsidR="002734D3" w:rsidRPr="002734D3" w:rsidRDefault="002734D3" w:rsidP="002734D3">
      <w:pPr>
        <w:pStyle w:val="ListNumber2"/>
      </w:pPr>
      <w:r w:rsidRPr="002734D3">
        <w:t>Support a reduction in car parking requirements for small</w:t>
      </w:r>
      <w:r>
        <w:t xml:space="preserve"> </w:t>
      </w:r>
      <w:r w:rsidRPr="002734D3">
        <w:t>residential units in close proximity to the station.</w:t>
      </w:r>
    </w:p>
    <w:p w:rsidR="002734D3" w:rsidRPr="002734D3" w:rsidRDefault="002734D3" w:rsidP="002734D3">
      <w:pPr>
        <w:pStyle w:val="ListNumber2"/>
      </w:pPr>
      <w:r w:rsidRPr="002734D3">
        <w:lastRenderedPageBreak/>
        <w:t xml:space="preserve">Medium density housing/ </w:t>
      </w:r>
      <w:r>
        <w:t xml:space="preserve">mix use development car parking </w:t>
      </w:r>
      <w:r w:rsidRPr="002734D3">
        <w:t>should be concealed within the building or located</w:t>
      </w:r>
      <w:r>
        <w:t xml:space="preserve"> </w:t>
      </w:r>
      <w:r w:rsidRPr="002734D3">
        <w:t>underground. Avoid excessive use and reliance on car</w:t>
      </w:r>
      <w:r>
        <w:t xml:space="preserve"> </w:t>
      </w:r>
      <w:r w:rsidRPr="002734D3">
        <w:t>stackers.</w:t>
      </w:r>
    </w:p>
    <w:p w:rsidR="002734D3" w:rsidRPr="002734D3" w:rsidRDefault="002734D3" w:rsidP="002734D3">
      <w:pPr>
        <w:pStyle w:val="ListNumber2"/>
      </w:pPr>
      <w:r w:rsidRPr="002734D3">
        <w:t xml:space="preserve">Service areas and car </w:t>
      </w:r>
      <w:r>
        <w:t xml:space="preserve">parking should be concealed and </w:t>
      </w:r>
      <w:r w:rsidRPr="002734D3">
        <w:t>located at the rear of buil</w:t>
      </w:r>
      <w:r>
        <w:t xml:space="preserve">dings, or serviced by laneways. </w:t>
      </w:r>
      <w:r w:rsidRPr="002734D3">
        <w:t>Incorporate screening devi</w:t>
      </w:r>
      <w:r>
        <w:t xml:space="preserve">ces to enhance the presentation </w:t>
      </w:r>
      <w:r w:rsidRPr="002734D3">
        <w:t>of ‘back of house’ activities and service areas.</w:t>
      </w:r>
    </w:p>
    <w:p w:rsidR="002734D3" w:rsidRDefault="002734D3" w:rsidP="002734D3">
      <w:pPr>
        <w:pStyle w:val="ListNumber2"/>
      </w:pPr>
      <w:r w:rsidRPr="002734D3">
        <w:t>Car parking entryways s</w:t>
      </w:r>
      <w:r>
        <w:t xml:space="preserve">hould be located to the edge of </w:t>
      </w:r>
      <w:r w:rsidRPr="002734D3">
        <w:t>sites, and clustered with other car parking entries.</w:t>
      </w:r>
    </w:p>
    <w:p w:rsidR="002734D3" w:rsidRDefault="002734D3" w:rsidP="002734D3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14197" cy="3766782"/>
            <wp:effectExtent l="0" t="0" r="1270" b="5715"/>
            <wp:docPr id="10" name="Picture 10" descr="This image represents the Design Guidelines and Directions for the Access and Parking in the Transport Hub of Eltham Town Centre" title="Access and Park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 and parking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37"/>
                    <a:stretch/>
                  </pic:blipFill>
                  <pic:spPr bwMode="auto">
                    <a:xfrm>
                      <a:off x="0" y="0"/>
                      <a:ext cx="6120130" cy="377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7A" w:rsidRDefault="00BD607A" w:rsidP="00BD607A">
      <w:pPr>
        <w:pStyle w:val="Heading5"/>
      </w:pPr>
      <w:r w:rsidRPr="00BD607A">
        <w:t xml:space="preserve">BC02: Boundary Treatments - Landscape </w:t>
      </w:r>
      <w:r>
        <w:t>and</w:t>
      </w:r>
      <w:r w:rsidRPr="00BD607A">
        <w:t xml:space="preserve"> Fencing (</w:t>
      </w:r>
      <w:proofErr w:type="spellStart"/>
      <w:r w:rsidRPr="00BD607A">
        <w:t>cont</w:t>
      </w:r>
      <w:proofErr w:type="spellEnd"/>
      <w:r w:rsidRPr="00BD607A">
        <w:t>)</w:t>
      </w:r>
    </w:p>
    <w:p w:rsidR="00BD607A" w:rsidRPr="00BD607A" w:rsidRDefault="00BD607A" w:rsidP="00BD607A">
      <w:pPr>
        <w:rPr>
          <w:b/>
        </w:rPr>
      </w:pPr>
      <w:r w:rsidRPr="00BD607A">
        <w:rPr>
          <w:b/>
        </w:rPr>
        <w:t>Design Guidelines and Directions:</w:t>
      </w:r>
    </w:p>
    <w:p w:rsidR="00BD607A" w:rsidRPr="00BD607A" w:rsidRDefault="00BD607A" w:rsidP="00BD607A">
      <w:pPr>
        <w:pStyle w:val="ListNumber2"/>
      </w:pPr>
      <w:r w:rsidRPr="00BD607A">
        <w:t>Excessive use of roller</w:t>
      </w:r>
      <w:r>
        <w:t xml:space="preserve"> doors is strongly discouraged. </w:t>
      </w:r>
      <w:r w:rsidRPr="00BD607A">
        <w:t>Incorporate high quality materials such as perforated</w:t>
      </w:r>
      <w:r>
        <w:t xml:space="preserve"> </w:t>
      </w:r>
      <w:r w:rsidRPr="00BD607A">
        <w:t>sheeting and timber/ metal panels</w:t>
      </w:r>
    </w:p>
    <w:p w:rsidR="00BD607A" w:rsidRPr="00BD607A" w:rsidRDefault="00BD607A" w:rsidP="00BD607A">
      <w:pPr>
        <w:pStyle w:val="ListNumber2"/>
      </w:pPr>
      <w:r w:rsidRPr="00BD607A">
        <w:t>Medium density develo</w:t>
      </w:r>
      <w:r>
        <w:t xml:space="preserve">pment should not locate private </w:t>
      </w:r>
      <w:r w:rsidRPr="00BD607A">
        <w:t>open spaces and screen fencing to face the street.</w:t>
      </w:r>
    </w:p>
    <w:p w:rsidR="00BD607A" w:rsidRDefault="00BD607A" w:rsidP="00BD607A">
      <w:pPr>
        <w:pStyle w:val="ListNumber2"/>
      </w:pPr>
      <w:r w:rsidRPr="00BD607A">
        <w:t xml:space="preserve">New development should </w:t>
      </w:r>
      <w:r>
        <w:t xml:space="preserve">incorporate acoustic treatments </w:t>
      </w:r>
      <w:r w:rsidRPr="00BD607A">
        <w:t>responding to the railway environment to minimise adverse</w:t>
      </w:r>
      <w:r>
        <w:t xml:space="preserve"> </w:t>
      </w:r>
      <w:r w:rsidRPr="00BD607A">
        <w:t>amenity impacts.</w:t>
      </w:r>
    </w:p>
    <w:p w:rsidR="00BD607A" w:rsidRDefault="00BD607A" w:rsidP="00BD607A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4995081" cy="1449466"/>
            <wp:effectExtent l="0" t="0" r="0" b="0"/>
            <wp:docPr id="11" name="Picture 11" descr="This image represents the Design Guidelines and Directions for the Boundary Treatments - Landscape and Fencing in the Transport Hub of Eltham Town Centre" title="Boundary Treatments - Landscape and Fenc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 and fencing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39"/>
                    <a:stretch/>
                  </pic:blipFill>
                  <pic:spPr bwMode="auto">
                    <a:xfrm>
                      <a:off x="0" y="0"/>
                      <a:ext cx="4995081" cy="144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7A" w:rsidRDefault="00BD607A" w:rsidP="00BD607A">
      <w:pPr>
        <w:pStyle w:val="Heading4"/>
      </w:pPr>
      <w:r w:rsidRPr="00BD607A">
        <w:t>PART B – Public Domain Guidelines</w:t>
      </w:r>
    </w:p>
    <w:p w:rsidR="00BD607A" w:rsidRDefault="00BD607A" w:rsidP="00BD607A">
      <w:pPr>
        <w:pStyle w:val="Heading5"/>
      </w:pPr>
      <w:r w:rsidRPr="00BD607A">
        <w:t xml:space="preserve">PD01: Access, Footpaths </w:t>
      </w:r>
      <w:r>
        <w:t>and</w:t>
      </w:r>
      <w:r w:rsidRPr="00BD607A">
        <w:t xml:space="preserve"> Parking (</w:t>
      </w:r>
      <w:proofErr w:type="spellStart"/>
      <w:r w:rsidRPr="00BD607A">
        <w:t>cont</w:t>
      </w:r>
      <w:proofErr w:type="spellEnd"/>
      <w:r w:rsidRPr="00BD607A">
        <w:t>)</w:t>
      </w:r>
    </w:p>
    <w:p w:rsidR="00BD607A" w:rsidRPr="00BD607A" w:rsidRDefault="00BD607A" w:rsidP="00BD607A">
      <w:pPr>
        <w:rPr>
          <w:b/>
        </w:rPr>
      </w:pPr>
      <w:r w:rsidRPr="00BD607A">
        <w:rPr>
          <w:b/>
        </w:rPr>
        <w:t>Design Guidelines and Directions:</w:t>
      </w:r>
    </w:p>
    <w:p w:rsidR="00BD607A" w:rsidRPr="00BD607A" w:rsidRDefault="00BD607A" w:rsidP="00BD607A">
      <w:pPr>
        <w:pStyle w:val="ListNumber2"/>
      </w:pPr>
      <w:proofErr w:type="spellStart"/>
      <w:r w:rsidRPr="00BD607A">
        <w:t>Accessways</w:t>
      </w:r>
      <w:proofErr w:type="spellEnd"/>
      <w:r w:rsidRPr="00BD607A">
        <w:t xml:space="preserve"> proximate to </w:t>
      </w:r>
      <w:r>
        <w:t xml:space="preserve">the Eltham Train Station should </w:t>
      </w:r>
      <w:r w:rsidRPr="00BD607A">
        <w:t>be designed to foster a low speed environment and reduce</w:t>
      </w:r>
      <w:r>
        <w:t xml:space="preserve"> </w:t>
      </w:r>
      <w:r w:rsidRPr="00BD607A">
        <w:t>pedestrian conflict points.</w:t>
      </w:r>
    </w:p>
    <w:p w:rsidR="00BD607A" w:rsidRPr="00BD607A" w:rsidRDefault="00BD607A" w:rsidP="00BD607A">
      <w:pPr>
        <w:pStyle w:val="ListNumber2"/>
      </w:pPr>
      <w:r w:rsidRPr="00BD607A">
        <w:t>Protect and enhance the functionali</w:t>
      </w:r>
      <w:r>
        <w:t xml:space="preserve">ty of the precinct as a </w:t>
      </w:r>
      <w:r w:rsidRPr="00BD607A">
        <w:t>commuter hub by maintaining convenient and safe access</w:t>
      </w:r>
      <w:r>
        <w:t xml:space="preserve"> </w:t>
      </w:r>
      <w:r w:rsidRPr="00BD607A">
        <w:t>to public transport services.</w:t>
      </w:r>
    </w:p>
    <w:p w:rsidR="00BD607A" w:rsidRDefault="00BD607A" w:rsidP="00BD607A">
      <w:pPr>
        <w:pStyle w:val="ListNumber2"/>
      </w:pPr>
      <w:r w:rsidRPr="00BD607A">
        <w:t>Footpaths accessing key pub</w:t>
      </w:r>
      <w:r>
        <w:t xml:space="preserve">lic transport facilities (Train </w:t>
      </w:r>
      <w:r w:rsidRPr="00BD607A">
        <w:t>station and bus interchange) should be direct and</w:t>
      </w:r>
      <w:r>
        <w:t xml:space="preserve"> </w:t>
      </w:r>
      <w:r w:rsidRPr="00BD607A">
        <w:t>convenient. Pathways should be generous in width (in the</w:t>
      </w:r>
      <w:r>
        <w:t xml:space="preserve"> </w:t>
      </w:r>
      <w:r w:rsidRPr="00BD607A">
        <w:t>order of 2.5 – 3 metres) to cater for high volumes of</w:t>
      </w:r>
      <w:r>
        <w:t xml:space="preserve"> </w:t>
      </w:r>
      <w:r w:rsidRPr="00BD607A">
        <w:t>pedestrian traffic.</w:t>
      </w:r>
    </w:p>
    <w:p w:rsidR="00BD607A" w:rsidRDefault="00BD607A" w:rsidP="00BD607A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5473860" cy="3616657"/>
            <wp:effectExtent l="0" t="0" r="0" b="3175"/>
            <wp:docPr id="12" name="Picture 12" descr="This image represents the Design Guidelines and Directions for the Access, Footpaths and Parking in the Transport Hub of Eltham Town Centre" title="Access, Footpaths and Park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 and footpaths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3"/>
                    <a:stretch/>
                  </pic:blipFill>
                  <pic:spPr bwMode="auto">
                    <a:xfrm>
                      <a:off x="0" y="0"/>
                      <a:ext cx="5479172" cy="362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07A" w:rsidRDefault="00BD607A" w:rsidP="00BD607A">
      <w:pPr>
        <w:pStyle w:val="Heading5"/>
      </w:pPr>
      <w:r w:rsidRPr="00BD607A">
        <w:t xml:space="preserve">PD02: Landscape – Soft </w:t>
      </w:r>
      <w:r>
        <w:t>and</w:t>
      </w:r>
      <w:r w:rsidRPr="00BD607A">
        <w:t xml:space="preserve"> Hard (</w:t>
      </w:r>
      <w:proofErr w:type="spellStart"/>
      <w:r w:rsidRPr="00BD607A">
        <w:t>cont</w:t>
      </w:r>
      <w:proofErr w:type="spellEnd"/>
      <w:r w:rsidRPr="00BD607A">
        <w:t>)</w:t>
      </w:r>
    </w:p>
    <w:p w:rsidR="00BD607A" w:rsidRPr="00BD607A" w:rsidRDefault="00BD607A" w:rsidP="00BD607A">
      <w:pPr>
        <w:rPr>
          <w:b/>
        </w:rPr>
      </w:pPr>
      <w:r w:rsidRPr="00BD607A">
        <w:rPr>
          <w:b/>
        </w:rPr>
        <w:t>Design Guidelines and Directions:</w:t>
      </w:r>
    </w:p>
    <w:p w:rsidR="00BD607A" w:rsidRPr="00BD607A" w:rsidRDefault="00BD607A" w:rsidP="00BD607A">
      <w:pPr>
        <w:pStyle w:val="ListNumber2"/>
      </w:pPr>
      <w:r w:rsidRPr="00BD607A">
        <w:lastRenderedPageBreak/>
        <w:t>Ensure central median landscape planting is regularly</w:t>
      </w:r>
      <w:r>
        <w:t xml:space="preserve"> </w:t>
      </w:r>
      <w:r w:rsidRPr="00BD607A">
        <w:t>maintained to ensure clear sightlines to pedestrian</w:t>
      </w:r>
      <w:r>
        <w:t xml:space="preserve"> </w:t>
      </w:r>
      <w:r w:rsidRPr="00BD607A">
        <w:t>crossings and street lights.</w:t>
      </w:r>
    </w:p>
    <w:p w:rsidR="00BD607A" w:rsidRDefault="00BD607A" w:rsidP="00BD607A">
      <w:pPr>
        <w:pStyle w:val="ListNumber2"/>
      </w:pPr>
      <w:r w:rsidRPr="00BD607A">
        <w:t>Plant indigenous trees throughout.</w:t>
      </w:r>
    </w:p>
    <w:p w:rsidR="00BD607A" w:rsidRDefault="00BD607A" w:rsidP="00BD607A">
      <w:pPr>
        <w:pStyle w:val="Heading5"/>
      </w:pPr>
      <w:r w:rsidRPr="00BD607A">
        <w:t xml:space="preserve">PD03: Street Furniture, Lighting </w:t>
      </w:r>
      <w:r>
        <w:t>and</w:t>
      </w:r>
      <w:r w:rsidRPr="00BD607A">
        <w:t xml:space="preserve"> Signage (</w:t>
      </w:r>
      <w:proofErr w:type="spellStart"/>
      <w:r w:rsidRPr="00BD607A">
        <w:t>cont</w:t>
      </w:r>
      <w:proofErr w:type="spellEnd"/>
      <w:r w:rsidRPr="00BD607A">
        <w:t>)</w:t>
      </w:r>
    </w:p>
    <w:p w:rsidR="00BD607A" w:rsidRPr="00BD607A" w:rsidRDefault="00BD607A" w:rsidP="00BD607A">
      <w:pPr>
        <w:rPr>
          <w:b/>
        </w:rPr>
      </w:pPr>
      <w:r w:rsidRPr="00BD607A">
        <w:rPr>
          <w:b/>
        </w:rPr>
        <w:t>Design Guidelines and Directions:</w:t>
      </w:r>
    </w:p>
    <w:p w:rsidR="00BD607A" w:rsidRPr="00BD607A" w:rsidRDefault="00BD607A" w:rsidP="00BD607A">
      <w:pPr>
        <w:pStyle w:val="ListNumber2"/>
      </w:pPr>
      <w:r w:rsidRPr="00BD607A">
        <w:t>Encourage co-location of stree</w:t>
      </w:r>
      <w:r>
        <w:t xml:space="preserve">t furniture so that it may have </w:t>
      </w:r>
      <w:r w:rsidRPr="00BD607A">
        <w:t>dual functions.</w:t>
      </w:r>
    </w:p>
    <w:p w:rsidR="00BD607A" w:rsidRPr="00BD607A" w:rsidRDefault="00BD607A" w:rsidP="00BD607A">
      <w:pPr>
        <w:pStyle w:val="ListNumber2"/>
      </w:pPr>
      <w:r w:rsidRPr="00BD607A">
        <w:t>Upgrade bus interchange t</w:t>
      </w:r>
      <w:r>
        <w:t xml:space="preserve">o include appropriate shelters, </w:t>
      </w:r>
      <w:r w:rsidRPr="00BD607A">
        <w:t>seating and street furniture. Such facilities should not</w:t>
      </w:r>
      <w:r>
        <w:t xml:space="preserve"> </w:t>
      </w:r>
      <w:r w:rsidRPr="00BD607A">
        <w:t>interrupt pedestrian traffic flow and where possible integrate</w:t>
      </w:r>
      <w:r>
        <w:t xml:space="preserve"> </w:t>
      </w:r>
      <w:r w:rsidRPr="00BD607A">
        <w:t>with new buildings.</w:t>
      </w:r>
    </w:p>
    <w:p w:rsidR="00BD607A" w:rsidRDefault="00BD607A" w:rsidP="00BD607A">
      <w:pPr>
        <w:pStyle w:val="ListNumber2"/>
      </w:pPr>
      <w:r w:rsidRPr="00BD607A">
        <w:t>Locate bicycle parking to</w:t>
      </w:r>
      <w:r>
        <w:t xml:space="preserve"> be close to the station and in </w:t>
      </w:r>
      <w:r w:rsidRPr="00BD607A">
        <w:t>highly visible locations.</w:t>
      </w:r>
    </w:p>
    <w:p w:rsidR="00BD607A" w:rsidRPr="00BD607A" w:rsidRDefault="00BD607A" w:rsidP="00BD607A">
      <w:pPr>
        <w:pStyle w:val="ListNumber2"/>
        <w:numPr>
          <w:ilvl w:val="0"/>
          <w:numId w:val="0"/>
        </w:numPr>
      </w:pPr>
      <w:bookmarkStart w:id="0" w:name="_GoBack"/>
      <w:r>
        <w:rPr>
          <w:noProof/>
          <w:lang w:eastAsia="en-AU"/>
        </w:rPr>
        <w:drawing>
          <wp:inline distT="0" distB="0" distL="0" distR="0">
            <wp:extent cx="6114197" cy="3985146"/>
            <wp:effectExtent l="0" t="0" r="1270" b="0"/>
            <wp:docPr id="13" name="Picture 13" descr="This image represents the Design Guidelines and Directions for the Street Furniture, Lighting and Signage in the Transport Hub of Eltham Town Centre" title="Street Furniture, Lighting and Sign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et furnitur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70"/>
                    <a:stretch/>
                  </pic:blipFill>
                  <pic:spPr bwMode="auto">
                    <a:xfrm>
                      <a:off x="0" y="0"/>
                      <a:ext cx="6120130" cy="398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D607A" w:rsidRPr="00BD607A" w:rsidSect="00DC5900">
      <w:footerReference w:type="default" r:id="rId19"/>
      <w:pgSz w:w="11906" w:h="16838" w:code="9"/>
      <w:pgMar w:top="1701" w:right="1134" w:bottom="1134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B22" w:rsidRPr="000D4EDE" w:rsidRDefault="00430B22" w:rsidP="000D4EDE">
      <w:r>
        <w:separator/>
      </w:r>
    </w:p>
  </w:endnote>
  <w:endnote w:type="continuationSeparator" w:id="0">
    <w:p w:rsidR="00430B22" w:rsidRPr="000D4EDE" w:rsidRDefault="00430B22" w:rsidP="000D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D11" w:rsidRPr="007B067F" w:rsidRDefault="007B067F" w:rsidP="007B067F">
    <w:pPr>
      <w:pStyle w:val="Footer"/>
    </w:pPr>
    <w:r w:rsidRPr="007B067F">
      <w:t xml:space="preserve">Nillumbik Shire Council </w:t>
    </w:r>
    <w:r>
      <w:t>-</w:t>
    </w:r>
    <w:r w:rsidRPr="007B067F">
      <w:t xml:space="preserve"> Design Guidelines </w:t>
    </w:r>
    <w:r>
      <w:t>-</w:t>
    </w:r>
    <w:r w:rsidRPr="007B067F">
      <w:t xml:space="preserve"> Eltham Activity Centre </w:t>
    </w:r>
    <w:r>
      <w:t>-</w:t>
    </w:r>
    <w:r w:rsidRPr="007B067F">
      <w:t xml:space="preserve"> Transport Hub </w:t>
    </w:r>
    <w:r>
      <w:t>-</w:t>
    </w:r>
    <w:r w:rsidRPr="007B067F">
      <w:t xml:space="preserve"> Version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B22" w:rsidRPr="000D4EDE" w:rsidRDefault="00430B22" w:rsidP="000D4EDE">
      <w:r>
        <w:separator/>
      </w:r>
    </w:p>
  </w:footnote>
  <w:footnote w:type="continuationSeparator" w:id="0">
    <w:p w:rsidR="00430B22" w:rsidRPr="000D4EDE" w:rsidRDefault="00430B22" w:rsidP="000D4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0EFFDA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>
    <w:nsid w:val="FFFFFF7E"/>
    <w:multiLevelType w:val="singleLevel"/>
    <w:tmpl w:val="E8D6DD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C165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7C176A"/>
    <w:lvl w:ilvl="0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9B9634E0"/>
    <w:lvl w:ilvl="0">
      <w:start w:val="1"/>
      <w:numFmt w:val="bullet"/>
      <w:lvlText w:val="–"/>
      <w:lvlJc w:val="left"/>
      <w:pPr>
        <w:ind w:left="926" w:hanging="360"/>
      </w:pPr>
      <w:rPr>
        <w:rFonts w:ascii="TheSans Veolia W2 ExtraLight" w:hAnsi="TheSans Veolia W2 ExtraLight" w:hint="default"/>
      </w:rPr>
    </w:lvl>
  </w:abstractNum>
  <w:abstractNum w:abstractNumId="7">
    <w:nsid w:val="FFFFFF83"/>
    <w:multiLevelType w:val="singleLevel"/>
    <w:tmpl w:val="4CC48C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F986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F858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</w:abstractNum>
  <w:abstractNum w:abstractNumId="10">
    <w:nsid w:val="1E1E23EE"/>
    <w:multiLevelType w:val="multilevel"/>
    <w:tmpl w:val="992E0F54"/>
    <w:styleLink w:val="CustomHeadingList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F0A6A75"/>
    <w:multiLevelType w:val="multilevel"/>
    <w:tmpl w:val="DFDC7920"/>
    <w:styleLink w:val="General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266C3831"/>
    <w:multiLevelType w:val="hybridMultilevel"/>
    <w:tmpl w:val="B9C8CCF6"/>
    <w:lvl w:ilvl="0" w:tplc="7F4E79E8">
      <w:start w:val="1"/>
      <w:numFmt w:val="bullet"/>
      <w:pStyle w:val="BodyBullet1"/>
      <w:lvlText w:val="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2D4F791F"/>
    <w:multiLevelType w:val="hybridMultilevel"/>
    <w:tmpl w:val="F1C24B26"/>
    <w:lvl w:ilvl="0" w:tplc="678E1022">
      <w:start w:val="1"/>
      <w:numFmt w:val="bullet"/>
      <w:pStyle w:val="BodyBullet2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408564EA"/>
    <w:multiLevelType w:val="multilevel"/>
    <w:tmpl w:val="1E5033B0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suff w:val="space"/>
      <w:lvlText w:val="Appendix %6: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5">
    <w:nsid w:val="43F148C1"/>
    <w:multiLevelType w:val="multilevel"/>
    <w:tmpl w:val="30A0F66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pStyle w:val="ListBullet4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pStyle w:val="Notes"/>
      <w:suff w:val="spac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440839EF"/>
    <w:multiLevelType w:val="hybridMultilevel"/>
    <w:tmpl w:val="E9725768"/>
    <w:lvl w:ilvl="0" w:tplc="C2A6D20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4A0445F4"/>
    <w:multiLevelType w:val="multilevel"/>
    <w:tmpl w:val="94B6B680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8">
    <w:nsid w:val="52572A3C"/>
    <w:multiLevelType w:val="multilevel"/>
    <w:tmpl w:val="F3F485EE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5A426B28"/>
    <w:multiLevelType w:val="multilevel"/>
    <w:tmpl w:val="88E67880"/>
    <w:styleLink w:val="MultiLevelheadinglist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0">
    <w:nsid w:val="642C3DB9"/>
    <w:multiLevelType w:val="multilevel"/>
    <w:tmpl w:val="E0D87D34"/>
    <w:lvl w:ilvl="0">
      <w:start w:val="1"/>
      <w:numFmt w:val="decimal"/>
      <w:pStyle w:val="Heading1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pStyle w:val="AppendixHeading"/>
      <w:suff w:val="space"/>
      <w:lvlText w:val="Appendix %6:"/>
      <w:lvlJc w:val="left"/>
      <w:pPr>
        <w:ind w:left="0" w:firstLine="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21">
    <w:nsid w:val="64363A73"/>
    <w:multiLevelType w:val="multilevel"/>
    <w:tmpl w:val="0B7AC5B6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Appendix %4: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77" w:hanging="357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077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66522948"/>
    <w:multiLevelType w:val="hybridMultilevel"/>
    <w:tmpl w:val="DC762AC0"/>
    <w:lvl w:ilvl="0" w:tplc="87D44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4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AB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E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DCA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E1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2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00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2D81143"/>
    <w:multiLevelType w:val="hybridMultilevel"/>
    <w:tmpl w:val="DA0ECEA2"/>
    <w:lvl w:ilvl="0" w:tplc="90FA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E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A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A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0D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F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49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65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A2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7"/>
  </w:num>
  <w:num w:numId="5">
    <w:abstractNumId w:val="8"/>
  </w:num>
  <w:num w:numId="6">
    <w:abstractNumId w:val="9"/>
  </w:num>
  <w:num w:numId="7">
    <w:abstractNumId w:val="9"/>
  </w:num>
  <w:num w:numId="8">
    <w:abstractNumId w:val="3"/>
  </w:num>
  <w:num w:numId="9">
    <w:abstractNumId w:val="2"/>
  </w:num>
  <w:num w:numId="10">
    <w:abstractNumId w:val="1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2"/>
  </w:num>
  <w:num w:numId="16">
    <w:abstractNumId w:val="23"/>
  </w:num>
  <w:num w:numId="17">
    <w:abstractNumId w:val="6"/>
  </w:num>
  <w:num w:numId="18">
    <w:abstractNumId w:val="5"/>
  </w:num>
  <w:num w:numId="19">
    <w:abstractNumId w:val="1"/>
  </w:num>
  <w:num w:numId="20">
    <w:abstractNumId w:val="16"/>
  </w:num>
  <w:num w:numId="21">
    <w:abstractNumId w:val="4"/>
  </w:num>
  <w:num w:numId="22">
    <w:abstractNumId w:val="0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attachedTemplate r:id="rId1"/>
  <w:documentProtection w:formatting="1" w:enforcement="1" w:cryptProviderType="rsaAES" w:cryptAlgorithmClass="hash" w:cryptAlgorithmType="typeAny" w:cryptAlgorithmSid="14" w:cryptSpinCount="100000" w:hash="YXPrxfdIRAPxlJlZIIoSeH3uDJ+sT80VTzTgLcvtUbJPe2828oCMvPPOLeZZN3q5wXw1q+AmjdiKH2iv7+d0+g==" w:salt="pFCTkbQTnsIia8xuWoWyUQ=="/>
  <w:styleLockTheme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67F"/>
    <w:rsid w:val="00005D98"/>
    <w:rsid w:val="00012728"/>
    <w:rsid w:val="00034A19"/>
    <w:rsid w:val="00036F9E"/>
    <w:rsid w:val="000413B3"/>
    <w:rsid w:val="00083512"/>
    <w:rsid w:val="00086F71"/>
    <w:rsid w:val="000949AD"/>
    <w:rsid w:val="00095109"/>
    <w:rsid w:val="00096B0F"/>
    <w:rsid w:val="000A490E"/>
    <w:rsid w:val="000B63CA"/>
    <w:rsid w:val="000C14D9"/>
    <w:rsid w:val="000D4EDE"/>
    <w:rsid w:val="00123576"/>
    <w:rsid w:val="00124B21"/>
    <w:rsid w:val="001653B6"/>
    <w:rsid w:val="001820D0"/>
    <w:rsid w:val="0018235E"/>
    <w:rsid w:val="0019337A"/>
    <w:rsid w:val="001E0F51"/>
    <w:rsid w:val="001E6D6A"/>
    <w:rsid w:val="001F6E1A"/>
    <w:rsid w:val="00240126"/>
    <w:rsid w:val="00252E6A"/>
    <w:rsid w:val="002661A6"/>
    <w:rsid w:val="00266C23"/>
    <w:rsid w:val="002734D3"/>
    <w:rsid w:val="00286EAD"/>
    <w:rsid w:val="0029389B"/>
    <w:rsid w:val="002A7D14"/>
    <w:rsid w:val="002B4550"/>
    <w:rsid w:val="002B6303"/>
    <w:rsid w:val="002B7504"/>
    <w:rsid w:val="002C0D97"/>
    <w:rsid w:val="002C7065"/>
    <w:rsid w:val="002C7F4A"/>
    <w:rsid w:val="002D2804"/>
    <w:rsid w:val="002F0C2C"/>
    <w:rsid w:val="00303D18"/>
    <w:rsid w:val="00307ADD"/>
    <w:rsid w:val="003130CA"/>
    <w:rsid w:val="00316A25"/>
    <w:rsid w:val="003706A1"/>
    <w:rsid w:val="00371F54"/>
    <w:rsid w:val="00383A95"/>
    <w:rsid w:val="003A3021"/>
    <w:rsid w:val="003B6E16"/>
    <w:rsid w:val="003D27CB"/>
    <w:rsid w:val="003E6BF6"/>
    <w:rsid w:val="003F0F0D"/>
    <w:rsid w:val="0040173E"/>
    <w:rsid w:val="00430B22"/>
    <w:rsid w:val="00435324"/>
    <w:rsid w:val="00436FB3"/>
    <w:rsid w:val="00463FA8"/>
    <w:rsid w:val="00486BC5"/>
    <w:rsid w:val="00494335"/>
    <w:rsid w:val="004B584E"/>
    <w:rsid w:val="004C1106"/>
    <w:rsid w:val="004E2269"/>
    <w:rsid w:val="00503A51"/>
    <w:rsid w:val="00512309"/>
    <w:rsid w:val="0054526E"/>
    <w:rsid w:val="005476B5"/>
    <w:rsid w:val="005A3F63"/>
    <w:rsid w:val="005B073E"/>
    <w:rsid w:val="005B227F"/>
    <w:rsid w:val="005B7801"/>
    <w:rsid w:val="005D5FAE"/>
    <w:rsid w:val="005E074A"/>
    <w:rsid w:val="005F29B7"/>
    <w:rsid w:val="00606EB5"/>
    <w:rsid w:val="00617FDA"/>
    <w:rsid w:val="00634E4C"/>
    <w:rsid w:val="00636B8B"/>
    <w:rsid w:val="006427FE"/>
    <w:rsid w:val="006506C1"/>
    <w:rsid w:val="0066674D"/>
    <w:rsid w:val="00666A78"/>
    <w:rsid w:val="0069375D"/>
    <w:rsid w:val="0069407C"/>
    <w:rsid w:val="0069574E"/>
    <w:rsid w:val="006A01B1"/>
    <w:rsid w:val="006F145A"/>
    <w:rsid w:val="006F27CB"/>
    <w:rsid w:val="006F5865"/>
    <w:rsid w:val="00755163"/>
    <w:rsid w:val="00756AAB"/>
    <w:rsid w:val="00757F63"/>
    <w:rsid w:val="007645AE"/>
    <w:rsid w:val="00764992"/>
    <w:rsid w:val="00773673"/>
    <w:rsid w:val="00775AA0"/>
    <w:rsid w:val="007A0FA2"/>
    <w:rsid w:val="007A6E88"/>
    <w:rsid w:val="007B067F"/>
    <w:rsid w:val="007B5ECC"/>
    <w:rsid w:val="007C08B1"/>
    <w:rsid w:val="007C2CC2"/>
    <w:rsid w:val="007C39E4"/>
    <w:rsid w:val="007C5F64"/>
    <w:rsid w:val="007C79AA"/>
    <w:rsid w:val="007E525D"/>
    <w:rsid w:val="007F2954"/>
    <w:rsid w:val="00824E28"/>
    <w:rsid w:val="00845843"/>
    <w:rsid w:val="008637EC"/>
    <w:rsid w:val="00870BC6"/>
    <w:rsid w:val="00885A14"/>
    <w:rsid w:val="0088689B"/>
    <w:rsid w:val="0089031E"/>
    <w:rsid w:val="00890FA0"/>
    <w:rsid w:val="008A214D"/>
    <w:rsid w:val="008A72D2"/>
    <w:rsid w:val="008B6868"/>
    <w:rsid w:val="008C6A43"/>
    <w:rsid w:val="008D080C"/>
    <w:rsid w:val="008F66EC"/>
    <w:rsid w:val="00906799"/>
    <w:rsid w:val="00924152"/>
    <w:rsid w:val="0093194D"/>
    <w:rsid w:val="00934C3F"/>
    <w:rsid w:val="009417AE"/>
    <w:rsid w:val="00952D4C"/>
    <w:rsid w:val="009979F4"/>
    <w:rsid w:val="009A45B2"/>
    <w:rsid w:val="009D2DDD"/>
    <w:rsid w:val="00A24D11"/>
    <w:rsid w:val="00A33802"/>
    <w:rsid w:val="00A37E51"/>
    <w:rsid w:val="00A62D31"/>
    <w:rsid w:val="00A97E3B"/>
    <w:rsid w:val="00AB039E"/>
    <w:rsid w:val="00AC286B"/>
    <w:rsid w:val="00AF129F"/>
    <w:rsid w:val="00B0348A"/>
    <w:rsid w:val="00B12DC9"/>
    <w:rsid w:val="00B13F84"/>
    <w:rsid w:val="00B15ABA"/>
    <w:rsid w:val="00B23077"/>
    <w:rsid w:val="00B41D8E"/>
    <w:rsid w:val="00B42B2F"/>
    <w:rsid w:val="00B472E1"/>
    <w:rsid w:val="00B6789D"/>
    <w:rsid w:val="00B71170"/>
    <w:rsid w:val="00B81740"/>
    <w:rsid w:val="00B85D7B"/>
    <w:rsid w:val="00B900EA"/>
    <w:rsid w:val="00B91069"/>
    <w:rsid w:val="00BC2832"/>
    <w:rsid w:val="00BD06AB"/>
    <w:rsid w:val="00BD607A"/>
    <w:rsid w:val="00BD74A8"/>
    <w:rsid w:val="00C00FDA"/>
    <w:rsid w:val="00C04E4B"/>
    <w:rsid w:val="00C235A8"/>
    <w:rsid w:val="00C62BF5"/>
    <w:rsid w:val="00C636DA"/>
    <w:rsid w:val="00C72271"/>
    <w:rsid w:val="00C8017D"/>
    <w:rsid w:val="00C8274D"/>
    <w:rsid w:val="00CA1EAA"/>
    <w:rsid w:val="00CA6FF9"/>
    <w:rsid w:val="00CB4238"/>
    <w:rsid w:val="00CC176E"/>
    <w:rsid w:val="00CC34EB"/>
    <w:rsid w:val="00CC4A14"/>
    <w:rsid w:val="00CC66EA"/>
    <w:rsid w:val="00CE2E48"/>
    <w:rsid w:val="00D021F7"/>
    <w:rsid w:val="00D078A2"/>
    <w:rsid w:val="00D20D27"/>
    <w:rsid w:val="00D461C2"/>
    <w:rsid w:val="00D61AAE"/>
    <w:rsid w:val="00D637B7"/>
    <w:rsid w:val="00DA4C48"/>
    <w:rsid w:val="00DA727D"/>
    <w:rsid w:val="00DB53A7"/>
    <w:rsid w:val="00DC5900"/>
    <w:rsid w:val="00DD170F"/>
    <w:rsid w:val="00DE0A8A"/>
    <w:rsid w:val="00DF6E54"/>
    <w:rsid w:val="00E04228"/>
    <w:rsid w:val="00E04457"/>
    <w:rsid w:val="00E04BBC"/>
    <w:rsid w:val="00E159D7"/>
    <w:rsid w:val="00E21653"/>
    <w:rsid w:val="00E2414E"/>
    <w:rsid w:val="00E7257D"/>
    <w:rsid w:val="00E84A6B"/>
    <w:rsid w:val="00E92385"/>
    <w:rsid w:val="00E96DEA"/>
    <w:rsid w:val="00EA1FBB"/>
    <w:rsid w:val="00EA48AE"/>
    <w:rsid w:val="00EC457D"/>
    <w:rsid w:val="00EF2A15"/>
    <w:rsid w:val="00EF5BFD"/>
    <w:rsid w:val="00F34D63"/>
    <w:rsid w:val="00F34DCA"/>
    <w:rsid w:val="00F42EC2"/>
    <w:rsid w:val="00F76C98"/>
    <w:rsid w:val="00F80750"/>
    <w:rsid w:val="00F85F59"/>
    <w:rsid w:val="00F86DD4"/>
    <w:rsid w:val="00FB4CF2"/>
    <w:rsid w:val="00FE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locked="0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 w:semiHidden="0"/>
    <w:lsdException w:name="header" w:locked="0" w:semiHidden="0"/>
    <w:lsdException w:name="footer" w:locked="0" w:semiHidden="0"/>
    <w:lsdException w:name="caption" w:semiHidden="0" w:uiPriority="35" w:qFormat="1"/>
    <w:lsdException w:name="footnote reference" w:locked="0" w:semiHidden="0"/>
    <w:lsdException w:name="endnote reference" w:locked="0" w:semiHidden="0"/>
    <w:lsdException w:name="endnote text" w:locked="0" w:semiHidden="0"/>
    <w:lsdException w:name="List Bullet" w:semiHidden="0" w:qFormat="1"/>
    <w:lsdException w:name="List Number" w:semiHidden="0" w:unhideWhenUsed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Title" w:semiHidden="0" w:uiPriority="10" w:unhideWhenUsed="0" w:qFormat="1"/>
    <w:lsdException w:name="Default Paragraph Font" w:locked="0" w:uiPriority="1"/>
    <w:lsdException w:name="Subtitle" w:uiPriority="11" w:qFormat="1"/>
    <w:lsdException w:name="Hyperlink" w:locked="0"/>
    <w:lsdException w:name="FollowedHyperlink" w:locked="0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DC5900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12728"/>
    <w:pPr>
      <w:keepNext/>
      <w:keepLines/>
      <w:numPr>
        <w:numId w:val="31"/>
      </w:numPr>
      <w:spacing w:before="240"/>
      <w:outlineLvl w:val="0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728"/>
    <w:pPr>
      <w:keepNext/>
      <w:keepLines/>
      <w:numPr>
        <w:ilvl w:val="1"/>
        <w:numId w:val="31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2728"/>
    <w:pPr>
      <w:keepNext/>
      <w:keepLines/>
      <w:numPr>
        <w:ilvl w:val="2"/>
        <w:numId w:val="31"/>
      </w:numPr>
      <w:spacing w:before="24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31E"/>
    <w:pPr>
      <w:keepNext/>
      <w:keepLines/>
      <w:numPr>
        <w:ilvl w:val="3"/>
        <w:numId w:val="31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1D8E"/>
    <w:pPr>
      <w:keepNext/>
      <w:keepLines/>
      <w:numPr>
        <w:ilvl w:val="4"/>
        <w:numId w:val="31"/>
      </w:numPr>
      <w:spacing w:before="240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F807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F807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28"/>
    <w:rPr>
      <w:rFonts w:asciiTheme="majorHAnsi" w:eastAsiaTheme="majorEastAsia" w:hAnsiTheme="majorHAnsi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2728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2728"/>
    <w:rPr>
      <w:rFonts w:asciiTheme="majorHAnsi" w:eastAsiaTheme="majorEastAsia" w:hAnsiTheme="majorHAnsi" w:cstheme="majorBidi"/>
      <w:bCs/>
      <w:sz w:val="26"/>
    </w:rPr>
  </w:style>
  <w:style w:type="paragraph" w:customStyle="1" w:styleId="CoverSubtitle">
    <w:name w:val="Cover Subtitle"/>
    <w:basedOn w:val="Normal"/>
    <w:next w:val="CoverIntroductionText"/>
    <w:uiPriority w:val="20"/>
    <w:qFormat/>
    <w:rsid w:val="009417AE"/>
    <w:pPr>
      <w:spacing w:after="0"/>
    </w:pPr>
    <w:rPr>
      <w:rFonts w:asciiTheme="majorHAnsi" w:hAnsiTheme="majorHAnsi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CoverIntroductionText">
    <w:name w:val="Cover Introduction Text"/>
    <w:basedOn w:val="Normal"/>
    <w:uiPriority w:val="20"/>
    <w:rsid w:val="003E6BF6"/>
    <w:pPr>
      <w:spacing w:after="113"/>
    </w:pPr>
    <w:rPr>
      <w:color w:val="000000" w:themeColor="text1"/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rsid w:val="0089031E"/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ListBullet">
    <w:name w:val="List Bullet"/>
    <w:basedOn w:val="Normal"/>
    <w:uiPriority w:val="16"/>
    <w:qFormat/>
    <w:rsid w:val="00503A51"/>
    <w:pPr>
      <w:numPr>
        <w:numId w:val="25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  <w:rPr>
      <w:color w:val="000000" w:themeColor="text1"/>
    </w:rPr>
  </w:style>
  <w:style w:type="paragraph" w:styleId="ListNumber">
    <w:name w:val="List Number"/>
    <w:basedOn w:val="Normal"/>
    <w:uiPriority w:val="16"/>
    <w:qFormat/>
    <w:rsid w:val="00E84A6B"/>
    <w:pPr>
      <w:numPr>
        <w:ilvl w:val="6"/>
        <w:numId w:val="31"/>
      </w:numPr>
    </w:pPr>
  </w:style>
  <w:style w:type="paragraph" w:styleId="ListNumber2">
    <w:name w:val="List Number 2"/>
    <w:basedOn w:val="Normal"/>
    <w:uiPriority w:val="16"/>
    <w:qFormat/>
    <w:rsid w:val="00E84A6B"/>
    <w:pPr>
      <w:numPr>
        <w:ilvl w:val="7"/>
        <w:numId w:val="31"/>
      </w:numPr>
    </w:pPr>
  </w:style>
  <w:style w:type="numbering" w:customStyle="1" w:styleId="Lists">
    <w:name w:val="Lists"/>
    <w:uiPriority w:val="99"/>
    <w:rsid w:val="00CB423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EA48AE"/>
    <w:pPr>
      <w:numPr>
        <w:ilvl w:val="8"/>
        <w:numId w:val="31"/>
      </w:numPr>
    </w:pPr>
  </w:style>
  <w:style w:type="paragraph" w:styleId="Title">
    <w:name w:val="Title"/>
    <w:basedOn w:val="Normal"/>
    <w:next w:val="CoverSubtitle"/>
    <w:link w:val="TitleChar"/>
    <w:uiPriority w:val="18"/>
    <w:qFormat/>
    <w:rsid w:val="00AC286B"/>
    <w:pPr>
      <w:spacing w:before="240" w:after="240"/>
    </w:pPr>
    <w:rPr>
      <w:rFonts w:asciiTheme="majorHAnsi" w:eastAsiaTheme="majorEastAsia" w:hAnsiTheme="majorHAnsi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8"/>
    <w:rsid w:val="00DC5900"/>
    <w:rPr>
      <w:rFonts w:asciiTheme="majorHAnsi" w:eastAsiaTheme="majorEastAsia" w:hAnsiTheme="majorHAnsi" w:cstheme="majorBidi"/>
      <w:b/>
      <w:sz w:val="40"/>
      <w:szCs w:val="52"/>
    </w:rPr>
  </w:style>
  <w:style w:type="numbering" w:customStyle="1" w:styleId="MultiLevelheadinglist">
    <w:name w:val="Multi Level heading list"/>
    <w:uiPriority w:val="99"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9417AE"/>
    <w:pPr>
      <w:tabs>
        <w:tab w:val="left" w:pos="440"/>
        <w:tab w:val="right" w:leader="dot" w:pos="10546"/>
      </w:tabs>
      <w:spacing w:before="57" w:after="57"/>
      <w:contextualSpacing/>
    </w:pPr>
    <w:rPr>
      <w:sz w:val="26"/>
    </w:rPr>
  </w:style>
  <w:style w:type="paragraph" w:styleId="TOCHeading">
    <w:name w:val="TOC Heading"/>
    <w:basedOn w:val="Heading1"/>
    <w:next w:val="Normal"/>
    <w:uiPriority w:val="39"/>
    <w:qFormat/>
    <w:rsid w:val="003E6BF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rsid w:val="0069407C"/>
    <w:pPr>
      <w:tabs>
        <w:tab w:val="center" w:pos="4513"/>
        <w:tab w:val="right" w:pos="9026"/>
      </w:tabs>
      <w:spacing w:line="200" w:lineRule="exac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9407C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qFormat/>
    <w:rsid w:val="00503A51"/>
    <w:pPr>
      <w:numPr>
        <w:ilvl w:val="2"/>
        <w:numId w:val="25"/>
      </w:numPr>
      <w:contextualSpacing/>
    </w:pPr>
  </w:style>
  <w:style w:type="paragraph" w:styleId="ListBullet4">
    <w:name w:val="List Bullet 4"/>
    <w:basedOn w:val="Normal"/>
    <w:uiPriority w:val="16"/>
    <w:qFormat/>
    <w:rsid w:val="00503A51"/>
    <w:pPr>
      <w:numPr>
        <w:ilvl w:val="3"/>
        <w:numId w:val="25"/>
      </w:numPr>
      <w:contextualSpacing/>
    </w:pPr>
  </w:style>
  <w:style w:type="table" w:styleId="TableGrid">
    <w:name w:val="Table Grid"/>
    <w:basedOn w:val="TableNormal"/>
    <w:uiPriority w:val="59"/>
    <w:rsid w:val="00DC5900"/>
    <w:pPr>
      <w:spacing w:before="57" w:after="57"/>
      <w:ind w:left="108" w:right="108"/>
    </w:pPr>
    <w:tblPr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left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</w:style>
  <w:style w:type="paragraph" w:styleId="Caption">
    <w:name w:val="caption"/>
    <w:basedOn w:val="Normal"/>
    <w:next w:val="Normal"/>
    <w:uiPriority w:val="35"/>
    <w:qFormat/>
    <w:rsid w:val="003E6BF6"/>
    <w:pPr>
      <w:spacing w:after="34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764992"/>
    <w:rPr>
      <w:noProof w:val="0"/>
      <w:color w:val="808080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DA4C48"/>
    <w:p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E58E1A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00456B" w:themeColor="accent1"/>
        <w:left w:val="single" w:sz="2" w:space="10" w:color="00456B" w:themeColor="accent1"/>
        <w:bottom w:val="single" w:sz="2" w:space="10" w:color="00456B" w:themeColor="accent1"/>
        <w:right w:val="single" w:sz="2" w:space="10" w:color="00456B" w:themeColor="accent1"/>
      </w:pBdr>
      <w:ind w:left="1152" w:right="1152"/>
    </w:pPr>
    <w:rPr>
      <w:rFonts w:asciiTheme="minorHAnsi" w:eastAsiaTheme="minorEastAsia" w:hAnsiTheme="minorHAnsi"/>
      <w:i/>
      <w:iCs/>
      <w:color w:val="00456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E2FF" w:themeFill="accent1" w:themeFillTint="33"/>
    </w:tcPr>
    <w:tblStylePr w:type="firstRow">
      <w:rPr>
        <w:b/>
        <w:bCs/>
      </w:rPr>
      <w:tblPr/>
      <w:tcPr>
        <w:shd w:val="clear" w:color="auto" w:fill="5DC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C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1" w:themeFill="accent2" w:themeFillTint="33"/>
    </w:tcPr>
    <w:tblStylePr w:type="firstRow">
      <w:rPr>
        <w:b/>
        <w:bCs/>
      </w:rPr>
      <w:tblPr/>
      <w:tcPr>
        <w:shd w:val="clear" w:color="auto" w:fill="F4D1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1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2F1" w:themeFill="accent3" w:themeFillTint="33"/>
    </w:tcPr>
    <w:tblStylePr w:type="firstRow">
      <w:rPr>
        <w:b/>
        <w:bCs/>
      </w:rPr>
      <w:tblPr/>
      <w:tcPr>
        <w:shd w:val="clear" w:color="auto" w:fill="EBE6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6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3E1" w:themeFill="accent4" w:themeFillTint="33"/>
    </w:tcPr>
    <w:tblStylePr w:type="firstRow">
      <w:rPr>
        <w:b/>
        <w:bCs/>
      </w:rPr>
      <w:tblPr/>
      <w:tcPr>
        <w:shd w:val="clear" w:color="auto" w:fill="E1C8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8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D" w:themeFill="accent5" w:themeFillTint="33"/>
    </w:tcPr>
    <w:tblStylePr w:type="firstRow">
      <w:rPr>
        <w:b/>
        <w:bCs/>
      </w:rPr>
      <w:tblPr/>
      <w:tcPr>
        <w:shd w:val="clear" w:color="auto" w:fill="C4D2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2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ED" w:themeFill="accent6" w:themeFillTint="33"/>
    </w:tcPr>
    <w:tblStylePr w:type="firstRow">
      <w:rPr>
        <w:b/>
        <w:bCs/>
      </w:rPr>
      <w:tblPr/>
      <w:tcPr>
        <w:shd w:val="clear" w:color="auto" w:fill="DEE1D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1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shd w:val="clear" w:color="auto" w:fill="AEE2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shd w:val="clear" w:color="auto" w:fill="F9E8D1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5A4D" w:themeFill="accent4" w:themeFillShade="CC"/>
      </w:tcPr>
    </w:tblStylePr>
    <w:tblStylePr w:type="lastRow">
      <w:rPr>
        <w:b/>
        <w:bCs/>
        <w:color w:val="985A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shd w:val="clear" w:color="auto" w:fill="F5F2F1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1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9A90" w:themeFill="accent3" w:themeFillShade="CC"/>
      </w:tcPr>
    </w:tblStylePr>
    <w:tblStylePr w:type="lastRow">
      <w:rPr>
        <w:b/>
        <w:bCs/>
        <w:color w:val="AB9A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shd w:val="clear" w:color="auto" w:fill="F0E3E1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82" w:themeFill="accent6" w:themeFillShade="CC"/>
      </w:tcPr>
    </w:tblStylePr>
    <w:tblStylePr w:type="lastRow">
      <w:rPr>
        <w:b/>
        <w:bCs/>
        <w:color w:val="899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shd w:val="clear" w:color="auto" w:fill="E1E8ED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388" w:themeFill="accent5" w:themeFillShade="CC"/>
      </w:tcPr>
    </w:tblStylePr>
    <w:tblStylePr w:type="lastRow">
      <w:rPr>
        <w:b/>
        <w:bCs/>
        <w:color w:val="5473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shd w:val="clear" w:color="auto" w:fill="EEF0ED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456B" w:themeColor="accent1"/>
        <w:bottom w:val="single" w:sz="4" w:space="0" w:color="00456B" w:themeColor="accent1"/>
        <w:right w:val="single" w:sz="4" w:space="0" w:color="00456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94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940" w:themeColor="accent1" w:themeShade="99"/>
          <w:insideV w:val="nil"/>
        </w:tcBorders>
        <w:shd w:val="clear" w:color="auto" w:fill="00294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40" w:themeFill="accent1" w:themeFillShade="99"/>
      </w:tcPr>
    </w:tblStylePr>
    <w:tblStylePr w:type="band1Vert">
      <w:tblPr/>
      <w:tcPr>
        <w:shd w:val="clear" w:color="auto" w:fill="5DC5FF" w:themeFill="accent1" w:themeFillTint="66"/>
      </w:tcPr>
    </w:tblStylePr>
    <w:tblStylePr w:type="band1Horz">
      <w:tblPr/>
      <w:tcPr>
        <w:shd w:val="clear" w:color="auto" w:fill="36B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E58E1A" w:themeColor="accent2"/>
        <w:bottom w:val="single" w:sz="4" w:space="0" w:color="E58E1A" w:themeColor="accent2"/>
        <w:right w:val="single" w:sz="4" w:space="0" w:color="E58E1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4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40F" w:themeColor="accent2" w:themeShade="99"/>
          <w:insideV w:val="nil"/>
        </w:tcBorders>
        <w:shd w:val="clear" w:color="auto" w:fill="8954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40F" w:themeFill="accent2" w:themeFillShade="99"/>
      </w:tcPr>
    </w:tblStylePr>
    <w:tblStylePr w:type="band1Vert">
      <w:tblPr/>
      <w:tcPr>
        <w:shd w:val="clear" w:color="auto" w:fill="F4D1A3" w:themeFill="accent2" w:themeFillTint="66"/>
      </w:tcPr>
    </w:tblStylePr>
    <w:tblStylePr w:type="band1Horz">
      <w:tblPr/>
      <w:tcPr>
        <w:shd w:val="clear" w:color="auto" w:fill="F2C6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786C" w:themeColor="accent4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726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7266" w:themeColor="accent3" w:themeShade="99"/>
          <w:insideV w:val="nil"/>
        </w:tcBorders>
        <w:shd w:val="clear" w:color="auto" w:fill="86726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7266" w:themeFill="accent3" w:themeFillShade="99"/>
      </w:tcPr>
    </w:tblStylePr>
    <w:tblStylePr w:type="band1Vert">
      <w:tblPr/>
      <w:tcPr>
        <w:shd w:val="clear" w:color="auto" w:fill="EBE6E4" w:themeFill="accent3" w:themeFillTint="66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DC3BD" w:themeColor="accent3"/>
        <w:left w:val="single" w:sz="4" w:space="0" w:color="B4786C" w:themeColor="accent4"/>
        <w:bottom w:val="single" w:sz="4" w:space="0" w:color="B4786C" w:themeColor="accent4"/>
        <w:right w:val="single" w:sz="4" w:space="0" w:color="B4786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43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433A" w:themeColor="accent4" w:themeShade="99"/>
          <w:insideV w:val="nil"/>
        </w:tcBorders>
        <w:shd w:val="clear" w:color="auto" w:fill="7243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33A" w:themeFill="accent4" w:themeFillShade="99"/>
      </w:tcPr>
    </w:tblStylePr>
    <w:tblStylePr w:type="band1Vert">
      <w:tblPr/>
      <w:tcPr>
        <w:shd w:val="clear" w:color="auto" w:fill="E1C8C4" w:themeFill="accent4" w:themeFillTint="66"/>
      </w:tcPr>
    </w:tblStylePr>
    <w:tblStylePr w:type="band1Horz">
      <w:tblPr/>
      <w:tcPr>
        <w:shd w:val="clear" w:color="auto" w:fill="D9BBB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B6A8" w:themeColor="accent6"/>
        <w:left w:val="single" w:sz="4" w:space="0" w:color="6E90A6" w:themeColor="accent5"/>
        <w:bottom w:val="single" w:sz="4" w:space="0" w:color="6E90A6" w:themeColor="accent5"/>
        <w:right w:val="single" w:sz="4" w:space="0" w:color="6E90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66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666" w:themeColor="accent5" w:themeShade="99"/>
          <w:insideV w:val="nil"/>
        </w:tcBorders>
        <w:shd w:val="clear" w:color="auto" w:fill="3F566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666" w:themeFill="accent5" w:themeFillShade="99"/>
      </w:tcPr>
    </w:tblStylePr>
    <w:tblStylePr w:type="band1Vert">
      <w:tblPr/>
      <w:tcPr>
        <w:shd w:val="clear" w:color="auto" w:fill="C4D2DB" w:themeFill="accent5" w:themeFillTint="66"/>
      </w:tcPr>
    </w:tblStylePr>
    <w:tblStylePr w:type="band1Horz">
      <w:tblPr/>
      <w:tcPr>
        <w:shd w:val="clear" w:color="auto" w:fill="B6C7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90A6" w:themeColor="accent5"/>
        <w:left w:val="single" w:sz="4" w:space="0" w:color="ADB6A8" w:themeColor="accent6"/>
        <w:bottom w:val="single" w:sz="4" w:space="0" w:color="ADB6A8" w:themeColor="accent6"/>
        <w:right w:val="single" w:sz="4" w:space="0" w:color="ADB6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2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260" w:themeColor="accent6" w:themeShade="99"/>
          <w:insideV w:val="nil"/>
        </w:tcBorders>
        <w:shd w:val="clear" w:color="auto" w:fill="6672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260" w:themeFill="accent6" w:themeFillShade="99"/>
      </w:tcPr>
    </w:tblStylePr>
    <w:tblStylePr w:type="band1Vert">
      <w:tblPr/>
      <w:tcPr>
        <w:shd w:val="clear" w:color="auto" w:fill="DEE1DC" w:themeFill="accent6" w:themeFillTint="66"/>
      </w:tcPr>
    </w:tblStylePr>
    <w:tblStylePr w:type="band1Horz">
      <w:tblPr/>
      <w:tcPr>
        <w:shd w:val="clear" w:color="auto" w:fill="D5DA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0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56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23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35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8E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6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6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DC3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5E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F8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786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38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54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90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8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C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B6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E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D7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  <w:rPr>
      <w:noProof w:val="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noProof w:val="0"/>
      <w:sz w:val="20"/>
      <w:szCs w:val="20"/>
      <w:lang w:val="en-AU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00456B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noProof w:val="0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B41D8E"/>
    <w:rPr>
      <w:rFonts w:asciiTheme="majorHAnsi" w:eastAsiaTheme="majorEastAsia" w:hAnsiTheme="majorHAnsi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74D"/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7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00456B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00456B" w:themeColor="accent1"/>
      </w:pBdr>
      <w:spacing w:before="200" w:after="280"/>
      <w:ind w:left="936" w:right="936"/>
    </w:pPr>
    <w:rPr>
      <w:b/>
      <w:bCs/>
      <w:i/>
      <w:iCs/>
      <w:color w:val="0045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00456B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E58E1A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1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  <w:shd w:val="clear" w:color="auto" w:fill="9BDBFF" w:themeFill="accent1" w:themeFillTint="3F"/>
      </w:tcPr>
    </w:tblStylePr>
    <w:tblStylePr w:type="band2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1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  <w:shd w:val="clear" w:color="auto" w:fill="F8E2C6" w:themeFill="accent2" w:themeFillTint="3F"/>
      </w:tcPr>
    </w:tblStylePr>
    <w:tblStylePr w:type="band2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1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  <w:shd w:val="clear" w:color="auto" w:fill="F2F0EE" w:themeFill="accent3" w:themeFillTint="3F"/>
      </w:tcPr>
    </w:tblStylePr>
    <w:tblStylePr w:type="band2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1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  <w:shd w:val="clear" w:color="auto" w:fill="ECDDDA" w:themeFill="accent4" w:themeFillTint="3F"/>
      </w:tcPr>
    </w:tblStylePr>
    <w:tblStylePr w:type="band2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1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  <w:shd w:val="clear" w:color="auto" w:fill="DBE3E9" w:themeFill="accent5" w:themeFillTint="3F"/>
      </w:tcPr>
    </w:tblStylePr>
    <w:tblStylePr w:type="band2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1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  <w:shd w:val="clear" w:color="auto" w:fill="EAEDE9" w:themeFill="accent6" w:themeFillTint="3F"/>
      </w:tcPr>
    </w:tblStylePr>
    <w:tblStylePr w:type="band2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003350" w:themeColor="accent1" w:themeShade="BF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AB6913" w:themeColor="accent2" w:themeShade="BF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A28F84" w:themeColor="accent3" w:themeShade="BF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8E5449" w:themeColor="accent4" w:themeShade="BF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E6C80" w:themeColor="accent5" w:themeShade="BF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7F8D78" w:themeColor="accent6" w:themeShade="BF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  <w:insideV w:val="single" w:sz="8" w:space="0" w:color="0085D0" w:themeColor="accent1" w:themeTint="BF"/>
      </w:tblBorders>
    </w:tblPr>
    <w:tcPr>
      <w:shd w:val="clear" w:color="auto" w:fill="9B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5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  <w:insideV w:val="single" w:sz="8" w:space="0" w:color="EBA953" w:themeColor="accent2" w:themeTint="BF"/>
      </w:tblBorders>
    </w:tblPr>
    <w:tcPr>
      <w:shd w:val="clear" w:color="auto" w:fill="F8E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A9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  <w:insideV w:val="single" w:sz="8" w:space="0" w:color="D9D1CD" w:themeColor="accent3" w:themeTint="BF"/>
      </w:tblBorders>
    </w:tblPr>
    <w:tcPr>
      <w:shd w:val="clear" w:color="auto" w:fill="F2F0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D1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  <w:insideV w:val="single" w:sz="8" w:space="0" w:color="C69990" w:themeColor="accent4" w:themeTint="BF"/>
      </w:tblBorders>
    </w:tblPr>
    <w:tcPr>
      <w:shd w:val="clear" w:color="auto" w:fill="ECD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99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  <w:insideV w:val="single" w:sz="8" w:space="0" w:color="92ABBC" w:themeColor="accent5" w:themeTint="BF"/>
      </w:tblBorders>
    </w:tblPr>
    <w:tcPr>
      <w:shd w:val="clear" w:color="auto" w:fill="DBE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B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  <w:insideV w:val="single" w:sz="8" w:space="0" w:color="C1C8BD" w:themeColor="accent6" w:themeTint="BF"/>
      </w:tblBorders>
    </w:tblPr>
    <w:tcPr>
      <w:shd w:val="clear" w:color="auto" w:fill="EAE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C8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cPr>
      <w:shd w:val="clear" w:color="auto" w:fill="9B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E2FF" w:themeFill="accent1" w:themeFillTint="33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tcBorders>
          <w:insideH w:val="single" w:sz="6" w:space="0" w:color="00456B" w:themeColor="accent1"/>
          <w:insideV w:val="single" w:sz="6" w:space="0" w:color="00456B" w:themeColor="accent1"/>
        </w:tcBorders>
        <w:shd w:val="clear" w:color="auto" w:fill="36B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cPr>
      <w:shd w:val="clear" w:color="auto" w:fill="F8E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1" w:themeFill="accent2" w:themeFillTint="33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tcBorders>
          <w:insideH w:val="single" w:sz="6" w:space="0" w:color="E58E1A" w:themeColor="accent2"/>
          <w:insideV w:val="single" w:sz="6" w:space="0" w:color="E58E1A" w:themeColor="accent2"/>
        </w:tcBorders>
        <w:shd w:val="clear" w:color="auto" w:fill="F2C6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cPr>
      <w:shd w:val="clear" w:color="auto" w:fill="F2F0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F1" w:themeFill="accent3" w:themeFillTint="33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tcBorders>
          <w:insideH w:val="single" w:sz="6" w:space="0" w:color="CDC3BD" w:themeColor="accent3"/>
          <w:insideV w:val="single" w:sz="6" w:space="0" w:color="CDC3BD" w:themeColor="accent3"/>
        </w:tcBorders>
        <w:shd w:val="clear" w:color="auto" w:fill="E6E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cPr>
      <w:shd w:val="clear" w:color="auto" w:fill="ECD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3E1" w:themeFill="accent4" w:themeFillTint="33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tcBorders>
          <w:insideH w:val="single" w:sz="6" w:space="0" w:color="B4786C" w:themeColor="accent4"/>
          <w:insideV w:val="single" w:sz="6" w:space="0" w:color="B4786C" w:themeColor="accent4"/>
        </w:tcBorders>
        <w:shd w:val="clear" w:color="auto" w:fill="D9BB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cPr>
      <w:shd w:val="clear" w:color="auto" w:fill="DBE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D" w:themeFill="accent5" w:themeFillTint="33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tcBorders>
          <w:insideH w:val="single" w:sz="6" w:space="0" w:color="6E90A6" w:themeColor="accent5"/>
          <w:insideV w:val="single" w:sz="6" w:space="0" w:color="6E90A6" w:themeColor="accent5"/>
        </w:tcBorders>
        <w:shd w:val="clear" w:color="auto" w:fill="B6C7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cPr>
      <w:shd w:val="clear" w:color="auto" w:fill="EAED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3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tcBorders>
          <w:insideH w:val="single" w:sz="6" w:space="0" w:color="ADB6A8" w:themeColor="accent6"/>
          <w:insideV w:val="single" w:sz="6" w:space="0" w:color="ADB6A8" w:themeColor="accent6"/>
        </w:tcBorders>
        <w:shd w:val="clear" w:color="auto" w:fill="D5DA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B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6B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6B7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6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68C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E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E0DE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BB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BB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7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7D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A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AD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56B" w:themeColor="accen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shd w:val="clear" w:color="auto" w:fill="9BDB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8E1A" w:themeColor="accent2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shd w:val="clear" w:color="auto" w:fill="F8E2C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C3BD" w:themeColor="accent3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shd w:val="clear" w:color="auto" w:fill="F2F0EE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786C" w:themeColor="accent4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shd w:val="clear" w:color="auto" w:fill="ECDDDA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90A6" w:themeColor="accent5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shd w:val="clear" w:color="auto" w:fill="DBE3E9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B6A8" w:themeColor="accent6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shd w:val="clear" w:color="auto" w:fill="EAEDE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56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56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56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56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B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8E1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8E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8E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DC3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C3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C3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786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786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786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90A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90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90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B6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B6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B6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B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semiHidden/>
    <w:unhideWhenUsed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17"/>
    <w:qFormat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9"/>
    <w:semiHidden/>
    <w:unhideWhenUsed/>
    <w:qFormat/>
    <w:locked/>
    <w:rsid w:val="00F80750"/>
    <w:pPr>
      <w:numPr>
        <w:ilvl w:val="1"/>
      </w:numPr>
    </w:pPr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83512"/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E58E1A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8637EC"/>
    <w:pPr>
      <w:tabs>
        <w:tab w:val="left" w:pos="635"/>
        <w:tab w:val="left" w:pos="1140"/>
        <w:tab w:val="right" w:leader="dot" w:pos="10546"/>
      </w:tabs>
      <w:spacing w:after="100"/>
      <w:ind w:left="442"/>
      <w:contextualSpacing/>
    </w:pPr>
  </w:style>
  <w:style w:type="paragraph" w:styleId="TOC3">
    <w:name w:val="toc 3"/>
    <w:basedOn w:val="Normal"/>
    <w:next w:val="Normal"/>
    <w:autoRedefine/>
    <w:uiPriority w:val="39"/>
    <w:rsid w:val="008637EC"/>
    <w:pPr>
      <w:tabs>
        <w:tab w:val="left" w:pos="1644"/>
        <w:tab w:val="left" w:pos="2030"/>
        <w:tab w:val="right" w:leader="dot" w:pos="10546"/>
      </w:tabs>
      <w:spacing w:after="100"/>
      <w:ind w:left="11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AppendixHeading">
    <w:name w:val="Appendix Heading"/>
    <w:basedOn w:val="Heading1"/>
    <w:next w:val="Normal"/>
    <w:uiPriority w:val="11"/>
    <w:qFormat/>
    <w:rsid w:val="00034A19"/>
    <w:pPr>
      <w:numPr>
        <w:ilvl w:val="5"/>
      </w:numPr>
    </w:pPr>
  </w:style>
  <w:style w:type="paragraph" w:customStyle="1" w:styleId="Notes">
    <w:name w:val="Notes"/>
    <w:basedOn w:val="Normal"/>
    <w:semiHidden/>
    <w:qFormat/>
    <w:locked/>
    <w:rsid w:val="00503A51"/>
    <w:pPr>
      <w:numPr>
        <w:ilvl w:val="4"/>
        <w:numId w:val="25"/>
      </w:numPr>
      <w:spacing w:after="240"/>
      <w:jc w:val="both"/>
    </w:pPr>
    <w:rPr>
      <w:sz w:val="20"/>
    </w:rPr>
  </w:style>
  <w:style w:type="numbering" w:customStyle="1" w:styleId="GeneralList">
    <w:name w:val="General List"/>
    <w:uiPriority w:val="99"/>
    <w:locked/>
    <w:rsid w:val="00503A51"/>
    <w:pPr>
      <w:numPr>
        <w:numId w:val="23"/>
      </w:numPr>
    </w:pPr>
  </w:style>
  <w:style w:type="numbering" w:customStyle="1" w:styleId="CustomHeadingList">
    <w:name w:val="Custom Heading List"/>
    <w:uiPriority w:val="99"/>
    <w:rsid w:val="003A3021"/>
    <w:pPr>
      <w:numPr>
        <w:numId w:val="26"/>
      </w:numPr>
    </w:pPr>
  </w:style>
  <w:style w:type="paragraph" w:customStyle="1" w:styleId="Introduction">
    <w:name w:val="Introduction"/>
    <w:basedOn w:val="Normal"/>
    <w:uiPriority w:val="10"/>
    <w:qFormat/>
    <w:rsid w:val="00012728"/>
    <w:rPr>
      <w:sz w:val="28"/>
    </w:rPr>
  </w:style>
  <w:style w:type="paragraph" w:customStyle="1" w:styleId="CoverReportNumber">
    <w:name w:val="Cover Report Number"/>
    <w:basedOn w:val="Normal"/>
    <w:uiPriority w:val="19"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19"/>
    <w:qFormat/>
    <w:rsid w:val="00755163"/>
  </w:style>
  <w:style w:type="table" w:customStyle="1" w:styleId="CustomTable">
    <w:name w:val="Custom Table"/>
    <w:basedOn w:val="TableGrid"/>
    <w:uiPriority w:val="99"/>
    <w:rsid w:val="00DC5900"/>
    <w:tblPr>
      <w:tblStyleRowBandSize w:val="1"/>
      <w:tblStyleColBandSize w:val="1"/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  <w:tblStylePr w:type="lastRow">
      <w:rPr>
        <w:b/>
      </w:rPr>
    </w:tblStylePr>
    <w:tblStylePr w:type="firstCol">
      <w:rPr>
        <w:b/>
        <w:color w:val="FFFFFF" w:themeColor="background1"/>
      </w:rPr>
      <w:tblPr/>
      <w:tcPr>
        <w:shd w:val="clear" w:color="auto" w:fill="6E90A6" w:themeFill="accent5"/>
      </w:tcPr>
    </w:tblStylePr>
    <w:tblStylePr w:type="lastCol">
      <w:pPr>
        <w:jc w:val="right"/>
      </w:pPr>
    </w:tblStylePr>
    <w:tblStylePr w:type="band2Vert">
      <w:tblPr/>
      <w:tcPr>
        <w:shd w:val="clear" w:color="auto" w:fill="F5F2F1" w:themeFill="accent3" w:themeFillTint="33"/>
      </w:tcPr>
    </w:tblStylePr>
    <w:tblStylePr w:type="band2Horz">
      <w:tblPr/>
      <w:tcPr>
        <w:shd w:val="clear" w:color="auto" w:fill="E1E8ED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locked="0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 w:semiHidden="0"/>
    <w:lsdException w:name="header" w:locked="0" w:semiHidden="0"/>
    <w:lsdException w:name="footer" w:locked="0" w:semiHidden="0"/>
    <w:lsdException w:name="caption" w:semiHidden="0" w:uiPriority="35" w:qFormat="1"/>
    <w:lsdException w:name="footnote reference" w:locked="0" w:semiHidden="0"/>
    <w:lsdException w:name="endnote reference" w:locked="0" w:semiHidden="0"/>
    <w:lsdException w:name="endnote text" w:locked="0" w:semiHidden="0"/>
    <w:lsdException w:name="List Bullet" w:semiHidden="0" w:qFormat="1"/>
    <w:lsdException w:name="List Number" w:semiHidden="0" w:unhideWhenUsed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Title" w:semiHidden="0" w:uiPriority="10" w:unhideWhenUsed="0" w:qFormat="1"/>
    <w:lsdException w:name="Default Paragraph Font" w:locked="0" w:uiPriority="1"/>
    <w:lsdException w:name="Subtitle" w:uiPriority="11" w:qFormat="1"/>
    <w:lsdException w:name="Hyperlink" w:locked="0"/>
    <w:lsdException w:name="FollowedHyperlink" w:locked="0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DC5900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12728"/>
    <w:pPr>
      <w:keepNext/>
      <w:keepLines/>
      <w:numPr>
        <w:numId w:val="31"/>
      </w:numPr>
      <w:spacing w:before="240"/>
      <w:outlineLvl w:val="0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728"/>
    <w:pPr>
      <w:keepNext/>
      <w:keepLines/>
      <w:numPr>
        <w:ilvl w:val="1"/>
        <w:numId w:val="31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2728"/>
    <w:pPr>
      <w:keepNext/>
      <w:keepLines/>
      <w:numPr>
        <w:ilvl w:val="2"/>
        <w:numId w:val="31"/>
      </w:numPr>
      <w:spacing w:before="24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31E"/>
    <w:pPr>
      <w:keepNext/>
      <w:keepLines/>
      <w:numPr>
        <w:ilvl w:val="3"/>
        <w:numId w:val="31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1D8E"/>
    <w:pPr>
      <w:keepNext/>
      <w:keepLines/>
      <w:numPr>
        <w:ilvl w:val="4"/>
        <w:numId w:val="31"/>
      </w:numPr>
      <w:spacing w:before="240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F807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F807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28"/>
    <w:rPr>
      <w:rFonts w:asciiTheme="majorHAnsi" w:eastAsiaTheme="majorEastAsia" w:hAnsiTheme="majorHAnsi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2728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2728"/>
    <w:rPr>
      <w:rFonts w:asciiTheme="majorHAnsi" w:eastAsiaTheme="majorEastAsia" w:hAnsiTheme="majorHAnsi" w:cstheme="majorBidi"/>
      <w:bCs/>
      <w:sz w:val="26"/>
    </w:rPr>
  </w:style>
  <w:style w:type="paragraph" w:customStyle="1" w:styleId="CoverSubtitle">
    <w:name w:val="Cover Subtitle"/>
    <w:basedOn w:val="Normal"/>
    <w:next w:val="CoverIntroductionText"/>
    <w:uiPriority w:val="20"/>
    <w:qFormat/>
    <w:rsid w:val="009417AE"/>
    <w:pPr>
      <w:spacing w:after="0"/>
    </w:pPr>
    <w:rPr>
      <w:rFonts w:asciiTheme="majorHAnsi" w:hAnsiTheme="majorHAnsi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CoverIntroductionText">
    <w:name w:val="Cover Introduction Text"/>
    <w:basedOn w:val="Normal"/>
    <w:uiPriority w:val="20"/>
    <w:rsid w:val="003E6BF6"/>
    <w:pPr>
      <w:spacing w:after="113"/>
    </w:pPr>
    <w:rPr>
      <w:color w:val="000000" w:themeColor="text1"/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rsid w:val="0089031E"/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ListBullet">
    <w:name w:val="List Bullet"/>
    <w:basedOn w:val="Normal"/>
    <w:uiPriority w:val="16"/>
    <w:qFormat/>
    <w:rsid w:val="00503A51"/>
    <w:pPr>
      <w:numPr>
        <w:numId w:val="25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  <w:rPr>
      <w:color w:val="000000" w:themeColor="text1"/>
    </w:rPr>
  </w:style>
  <w:style w:type="paragraph" w:styleId="ListNumber">
    <w:name w:val="List Number"/>
    <w:basedOn w:val="Normal"/>
    <w:uiPriority w:val="16"/>
    <w:qFormat/>
    <w:rsid w:val="00E84A6B"/>
    <w:pPr>
      <w:numPr>
        <w:ilvl w:val="6"/>
        <w:numId w:val="31"/>
      </w:numPr>
    </w:pPr>
  </w:style>
  <w:style w:type="paragraph" w:styleId="ListNumber2">
    <w:name w:val="List Number 2"/>
    <w:basedOn w:val="Normal"/>
    <w:uiPriority w:val="16"/>
    <w:qFormat/>
    <w:rsid w:val="00E84A6B"/>
    <w:pPr>
      <w:numPr>
        <w:ilvl w:val="7"/>
        <w:numId w:val="31"/>
      </w:numPr>
    </w:pPr>
  </w:style>
  <w:style w:type="numbering" w:customStyle="1" w:styleId="Lists">
    <w:name w:val="Lists"/>
    <w:uiPriority w:val="99"/>
    <w:rsid w:val="00CB423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EA48AE"/>
    <w:pPr>
      <w:numPr>
        <w:ilvl w:val="8"/>
        <w:numId w:val="31"/>
      </w:numPr>
    </w:pPr>
  </w:style>
  <w:style w:type="paragraph" w:styleId="Title">
    <w:name w:val="Title"/>
    <w:basedOn w:val="Normal"/>
    <w:next w:val="CoverSubtitle"/>
    <w:link w:val="TitleChar"/>
    <w:uiPriority w:val="18"/>
    <w:qFormat/>
    <w:rsid w:val="00AC286B"/>
    <w:pPr>
      <w:spacing w:before="240" w:after="240"/>
    </w:pPr>
    <w:rPr>
      <w:rFonts w:asciiTheme="majorHAnsi" w:eastAsiaTheme="majorEastAsia" w:hAnsiTheme="majorHAnsi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8"/>
    <w:rsid w:val="00DC5900"/>
    <w:rPr>
      <w:rFonts w:asciiTheme="majorHAnsi" w:eastAsiaTheme="majorEastAsia" w:hAnsiTheme="majorHAnsi" w:cstheme="majorBidi"/>
      <w:b/>
      <w:sz w:val="40"/>
      <w:szCs w:val="52"/>
    </w:rPr>
  </w:style>
  <w:style w:type="numbering" w:customStyle="1" w:styleId="MultiLevelheadinglist">
    <w:name w:val="Multi Level heading list"/>
    <w:uiPriority w:val="99"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9417AE"/>
    <w:pPr>
      <w:tabs>
        <w:tab w:val="left" w:pos="440"/>
        <w:tab w:val="right" w:leader="dot" w:pos="10546"/>
      </w:tabs>
      <w:spacing w:before="57" w:after="57"/>
      <w:contextualSpacing/>
    </w:pPr>
    <w:rPr>
      <w:sz w:val="26"/>
    </w:rPr>
  </w:style>
  <w:style w:type="paragraph" w:styleId="TOCHeading">
    <w:name w:val="TOC Heading"/>
    <w:basedOn w:val="Heading1"/>
    <w:next w:val="Normal"/>
    <w:uiPriority w:val="39"/>
    <w:qFormat/>
    <w:rsid w:val="003E6BF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rsid w:val="0069407C"/>
    <w:pPr>
      <w:tabs>
        <w:tab w:val="center" w:pos="4513"/>
        <w:tab w:val="right" w:pos="9026"/>
      </w:tabs>
      <w:spacing w:line="200" w:lineRule="exac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9407C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qFormat/>
    <w:rsid w:val="00503A51"/>
    <w:pPr>
      <w:numPr>
        <w:ilvl w:val="2"/>
        <w:numId w:val="25"/>
      </w:numPr>
      <w:contextualSpacing/>
    </w:pPr>
  </w:style>
  <w:style w:type="paragraph" w:styleId="ListBullet4">
    <w:name w:val="List Bullet 4"/>
    <w:basedOn w:val="Normal"/>
    <w:uiPriority w:val="16"/>
    <w:qFormat/>
    <w:rsid w:val="00503A51"/>
    <w:pPr>
      <w:numPr>
        <w:ilvl w:val="3"/>
        <w:numId w:val="25"/>
      </w:numPr>
      <w:contextualSpacing/>
    </w:pPr>
  </w:style>
  <w:style w:type="table" w:styleId="TableGrid">
    <w:name w:val="Table Grid"/>
    <w:basedOn w:val="TableNormal"/>
    <w:uiPriority w:val="59"/>
    <w:rsid w:val="00DC5900"/>
    <w:pPr>
      <w:spacing w:before="57" w:after="57"/>
      <w:ind w:left="108" w:right="108"/>
    </w:pPr>
    <w:tblPr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left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</w:style>
  <w:style w:type="paragraph" w:styleId="Caption">
    <w:name w:val="caption"/>
    <w:basedOn w:val="Normal"/>
    <w:next w:val="Normal"/>
    <w:uiPriority w:val="35"/>
    <w:qFormat/>
    <w:rsid w:val="003E6BF6"/>
    <w:pPr>
      <w:spacing w:after="34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764992"/>
    <w:rPr>
      <w:noProof w:val="0"/>
      <w:color w:val="808080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DA4C48"/>
    <w:p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E58E1A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00456B" w:themeColor="accent1"/>
        <w:left w:val="single" w:sz="2" w:space="10" w:color="00456B" w:themeColor="accent1"/>
        <w:bottom w:val="single" w:sz="2" w:space="10" w:color="00456B" w:themeColor="accent1"/>
        <w:right w:val="single" w:sz="2" w:space="10" w:color="00456B" w:themeColor="accent1"/>
      </w:pBdr>
      <w:ind w:left="1152" w:right="1152"/>
    </w:pPr>
    <w:rPr>
      <w:rFonts w:asciiTheme="minorHAnsi" w:eastAsiaTheme="minorEastAsia" w:hAnsiTheme="minorHAnsi"/>
      <w:i/>
      <w:iCs/>
      <w:color w:val="00456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E2FF" w:themeFill="accent1" w:themeFillTint="33"/>
    </w:tcPr>
    <w:tblStylePr w:type="firstRow">
      <w:rPr>
        <w:b/>
        <w:bCs/>
      </w:rPr>
      <w:tblPr/>
      <w:tcPr>
        <w:shd w:val="clear" w:color="auto" w:fill="5DC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C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1" w:themeFill="accent2" w:themeFillTint="33"/>
    </w:tcPr>
    <w:tblStylePr w:type="firstRow">
      <w:rPr>
        <w:b/>
        <w:bCs/>
      </w:rPr>
      <w:tblPr/>
      <w:tcPr>
        <w:shd w:val="clear" w:color="auto" w:fill="F4D1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1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2F1" w:themeFill="accent3" w:themeFillTint="33"/>
    </w:tcPr>
    <w:tblStylePr w:type="firstRow">
      <w:rPr>
        <w:b/>
        <w:bCs/>
      </w:rPr>
      <w:tblPr/>
      <w:tcPr>
        <w:shd w:val="clear" w:color="auto" w:fill="EBE6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6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3E1" w:themeFill="accent4" w:themeFillTint="33"/>
    </w:tcPr>
    <w:tblStylePr w:type="firstRow">
      <w:rPr>
        <w:b/>
        <w:bCs/>
      </w:rPr>
      <w:tblPr/>
      <w:tcPr>
        <w:shd w:val="clear" w:color="auto" w:fill="E1C8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8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D" w:themeFill="accent5" w:themeFillTint="33"/>
    </w:tcPr>
    <w:tblStylePr w:type="firstRow">
      <w:rPr>
        <w:b/>
        <w:bCs/>
      </w:rPr>
      <w:tblPr/>
      <w:tcPr>
        <w:shd w:val="clear" w:color="auto" w:fill="C4D2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2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ED" w:themeFill="accent6" w:themeFillTint="33"/>
    </w:tcPr>
    <w:tblStylePr w:type="firstRow">
      <w:rPr>
        <w:b/>
        <w:bCs/>
      </w:rPr>
      <w:tblPr/>
      <w:tcPr>
        <w:shd w:val="clear" w:color="auto" w:fill="DEE1D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1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shd w:val="clear" w:color="auto" w:fill="AEE2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shd w:val="clear" w:color="auto" w:fill="F9E8D1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5A4D" w:themeFill="accent4" w:themeFillShade="CC"/>
      </w:tcPr>
    </w:tblStylePr>
    <w:tblStylePr w:type="lastRow">
      <w:rPr>
        <w:b/>
        <w:bCs/>
        <w:color w:val="985A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shd w:val="clear" w:color="auto" w:fill="F5F2F1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1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9A90" w:themeFill="accent3" w:themeFillShade="CC"/>
      </w:tcPr>
    </w:tblStylePr>
    <w:tblStylePr w:type="lastRow">
      <w:rPr>
        <w:b/>
        <w:bCs/>
        <w:color w:val="AB9A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shd w:val="clear" w:color="auto" w:fill="F0E3E1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82" w:themeFill="accent6" w:themeFillShade="CC"/>
      </w:tcPr>
    </w:tblStylePr>
    <w:tblStylePr w:type="lastRow">
      <w:rPr>
        <w:b/>
        <w:bCs/>
        <w:color w:val="899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shd w:val="clear" w:color="auto" w:fill="E1E8ED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388" w:themeFill="accent5" w:themeFillShade="CC"/>
      </w:tcPr>
    </w:tblStylePr>
    <w:tblStylePr w:type="lastRow">
      <w:rPr>
        <w:b/>
        <w:bCs/>
        <w:color w:val="5473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shd w:val="clear" w:color="auto" w:fill="EEF0ED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456B" w:themeColor="accent1"/>
        <w:bottom w:val="single" w:sz="4" w:space="0" w:color="00456B" w:themeColor="accent1"/>
        <w:right w:val="single" w:sz="4" w:space="0" w:color="00456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94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940" w:themeColor="accent1" w:themeShade="99"/>
          <w:insideV w:val="nil"/>
        </w:tcBorders>
        <w:shd w:val="clear" w:color="auto" w:fill="00294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40" w:themeFill="accent1" w:themeFillShade="99"/>
      </w:tcPr>
    </w:tblStylePr>
    <w:tblStylePr w:type="band1Vert">
      <w:tblPr/>
      <w:tcPr>
        <w:shd w:val="clear" w:color="auto" w:fill="5DC5FF" w:themeFill="accent1" w:themeFillTint="66"/>
      </w:tcPr>
    </w:tblStylePr>
    <w:tblStylePr w:type="band1Horz">
      <w:tblPr/>
      <w:tcPr>
        <w:shd w:val="clear" w:color="auto" w:fill="36B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E58E1A" w:themeColor="accent2"/>
        <w:bottom w:val="single" w:sz="4" w:space="0" w:color="E58E1A" w:themeColor="accent2"/>
        <w:right w:val="single" w:sz="4" w:space="0" w:color="E58E1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4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40F" w:themeColor="accent2" w:themeShade="99"/>
          <w:insideV w:val="nil"/>
        </w:tcBorders>
        <w:shd w:val="clear" w:color="auto" w:fill="8954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40F" w:themeFill="accent2" w:themeFillShade="99"/>
      </w:tcPr>
    </w:tblStylePr>
    <w:tblStylePr w:type="band1Vert">
      <w:tblPr/>
      <w:tcPr>
        <w:shd w:val="clear" w:color="auto" w:fill="F4D1A3" w:themeFill="accent2" w:themeFillTint="66"/>
      </w:tcPr>
    </w:tblStylePr>
    <w:tblStylePr w:type="band1Horz">
      <w:tblPr/>
      <w:tcPr>
        <w:shd w:val="clear" w:color="auto" w:fill="F2C6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786C" w:themeColor="accent4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726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7266" w:themeColor="accent3" w:themeShade="99"/>
          <w:insideV w:val="nil"/>
        </w:tcBorders>
        <w:shd w:val="clear" w:color="auto" w:fill="86726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7266" w:themeFill="accent3" w:themeFillShade="99"/>
      </w:tcPr>
    </w:tblStylePr>
    <w:tblStylePr w:type="band1Vert">
      <w:tblPr/>
      <w:tcPr>
        <w:shd w:val="clear" w:color="auto" w:fill="EBE6E4" w:themeFill="accent3" w:themeFillTint="66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DC3BD" w:themeColor="accent3"/>
        <w:left w:val="single" w:sz="4" w:space="0" w:color="B4786C" w:themeColor="accent4"/>
        <w:bottom w:val="single" w:sz="4" w:space="0" w:color="B4786C" w:themeColor="accent4"/>
        <w:right w:val="single" w:sz="4" w:space="0" w:color="B4786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43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433A" w:themeColor="accent4" w:themeShade="99"/>
          <w:insideV w:val="nil"/>
        </w:tcBorders>
        <w:shd w:val="clear" w:color="auto" w:fill="7243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33A" w:themeFill="accent4" w:themeFillShade="99"/>
      </w:tcPr>
    </w:tblStylePr>
    <w:tblStylePr w:type="band1Vert">
      <w:tblPr/>
      <w:tcPr>
        <w:shd w:val="clear" w:color="auto" w:fill="E1C8C4" w:themeFill="accent4" w:themeFillTint="66"/>
      </w:tcPr>
    </w:tblStylePr>
    <w:tblStylePr w:type="band1Horz">
      <w:tblPr/>
      <w:tcPr>
        <w:shd w:val="clear" w:color="auto" w:fill="D9BBB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B6A8" w:themeColor="accent6"/>
        <w:left w:val="single" w:sz="4" w:space="0" w:color="6E90A6" w:themeColor="accent5"/>
        <w:bottom w:val="single" w:sz="4" w:space="0" w:color="6E90A6" w:themeColor="accent5"/>
        <w:right w:val="single" w:sz="4" w:space="0" w:color="6E90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66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666" w:themeColor="accent5" w:themeShade="99"/>
          <w:insideV w:val="nil"/>
        </w:tcBorders>
        <w:shd w:val="clear" w:color="auto" w:fill="3F566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666" w:themeFill="accent5" w:themeFillShade="99"/>
      </w:tcPr>
    </w:tblStylePr>
    <w:tblStylePr w:type="band1Vert">
      <w:tblPr/>
      <w:tcPr>
        <w:shd w:val="clear" w:color="auto" w:fill="C4D2DB" w:themeFill="accent5" w:themeFillTint="66"/>
      </w:tcPr>
    </w:tblStylePr>
    <w:tblStylePr w:type="band1Horz">
      <w:tblPr/>
      <w:tcPr>
        <w:shd w:val="clear" w:color="auto" w:fill="B6C7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90A6" w:themeColor="accent5"/>
        <w:left w:val="single" w:sz="4" w:space="0" w:color="ADB6A8" w:themeColor="accent6"/>
        <w:bottom w:val="single" w:sz="4" w:space="0" w:color="ADB6A8" w:themeColor="accent6"/>
        <w:right w:val="single" w:sz="4" w:space="0" w:color="ADB6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2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260" w:themeColor="accent6" w:themeShade="99"/>
          <w:insideV w:val="nil"/>
        </w:tcBorders>
        <w:shd w:val="clear" w:color="auto" w:fill="6672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260" w:themeFill="accent6" w:themeFillShade="99"/>
      </w:tcPr>
    </w:tblStylePr>
    <w:tblStylePr w:type="band1Vert">
      <w:tblPr/>
      <w:tcPr>
        <w:shd w:val="clear" w:color="auto" w:fill="DEE1DC" w:themeFill="accent6" w:themeFillTint="66"/>
      </w:tcPr>
    </w:tblStylePr>
    <w:tblStylePr w:type="band1Horz">
      <w:tblPr/>
      <w:tcPr>
        <w:shd w:val="clear" w:color="auto" w:fill="D5DA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0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56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23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35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8E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6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6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DC3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5E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F8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786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38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54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90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8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C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B6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E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D7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  <w:rPr>
      <w:noProof w:val="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noProof w:val="0"/>
      <w:sz w:val="20"/>
      <w:szCs w:val="20"/>
      <w:lang w:val="en-AU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00456B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noProof w:val="0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B41D8E"/>
    <w:rPr>
      <w:rFonts w:asciiTheme="majorHAnsi" w:eastAsiaTheme="majorEastAsia" w:hAnsiTheme="majorHAnsi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74D"/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7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00456B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00456B" w:themeColor="accent1"/>
      </w:pBdr>
      <w:spacing w:before="200" w:after="280"/>
      <w:ind w:left="936" w:right="936"/>
    </w:pPr>
    <w:rPr>
      <w:b/>
      <w:bCs/>
      <w:i/>
      <w:iCs/>
      <w:color w:val="0045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00456B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E58E1A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1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  <w:shd w:val="clear" w:color="auto" w:fill="9BDBFF" w:themeFill="accent1" w:themeFillTint="3F"/>
      </w:tcPr>
    </w:tblStylePr>
    <w:tblStylePr w:type="band2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1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  <w:shd w:val="clear" w:color="auto" w:fill="F8E2C6" w:themeFill="accent2" w:themeFillTint="3F"/>
      </w:tcPr>
    </w:tblStylePr>
    <w:tblStylePr w:type="band2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1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  <w:shd w:val="clear" w:color="auto" w:fill="F2F0EE" w:themeFill="accent3" w:themeFillTint="3F"/>
      </w:tcPr>
    </w:tblStylePr>
    <w:tblStylePr w:type="band2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1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  <w:shd w:val="clear" w:color="auto" w:fill="ECDDDA" w:themeFill="accent4" w:themeFillTint="3F"/>
      </w:tcPr>
    </w:tblStylePr>
    <w:tblStylePr w:type="band2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1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  <w:shd w:val="clear" w:color="auto" w:fill="DBE3E9" w:themeFill="accent5" w:themeFillTint="3F"/>
      </w:tcPr>
    </w:tblStylePr>
    <w:tblStylePr w:type="band2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1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  <w:shd w:val="clear" w:color="auto" w:fill="EAEDE9" w:themeFill="accent6" w:themeFillTint="3F"/>
      </w:tcPr>
    </w:tblStylePr>
    <w:tblStylePr w:type="band2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003350" w:themeColor="accent1" w:themeShade="BF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AB6913" w:themeColor="accent2" w:themeShade="BF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A28F84" w:themeColor="accent3" w:themeShade="BF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8E5449" w:themeColor="accent4" w:themeShade="BF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E6C80" w:themeColor="accent5" w:themeShade="BF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7F8D78" w:themeColor="accent6" w:themeShade="BF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  <w:insideV w:val="single" w:sz="8" w:space="0" w:color="0085D0" w:themeColor="accent1" w:themeTint="BF"/>
      </w:tblBorders>
    </w:tblPr>
    <w:tcPr>
      <w:shd w:val="clear" w:color="auto" w:fill="9B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5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  <w:insideV w:val="single" w:sz="8" w:space="0" w:color="EBA953" w:themeColor="accent2" w:themeTint="BF"/>
      </w:tblBorders>
    </w:tblPr>
    <w:tcPr>
      <w:shd w:val="clear" w:color="auto" w:fill="F8E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A9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  <w:insideV w:val="single" w:sz="8" w:space="0" w:color="D9D1CD" w:themeColor="accent3" w:themeTint="BF"/>
      </w:tblBorders>
    </w:tblPr>
    <w:tcPr>
      <w:shd w:val="clear" w:color="auto" w:fill="F2F0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D1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  <w:insideV w:val="single" w:sz="8" w:space="0" w:color="C69990" w:themeColor="accent4" w:themeTint="BF"/>
      </w:tblBorders>
    </w:tblPr>
    <w:tcPr>
      <w:shd w:val="clear" w:color="auto" w:fill="ECD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99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  <w:insideV w:val="single" w:sz="8" w:space="0" w:color="92ABBC" w:themeColor="accent5" w:themeTint="BF"/>
      </w:tblBorders>
    </w:tblPr>
    <w:tcPr>
      <w:shd w:val="clear" w:color="auto" w:fill="DBE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B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  <w:insideV w:val="single" w:sz="8" w:space="0" w:color="C1C8BD" w:themeColor="accent6" w:themeTint="BF"/>
      </w:tblBorders>
    </w:tblPr>
    <w:tcPr>
      <w:shd w:val="clear" w:color="auto" w:fill="EAE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C8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cPr>
      <w:shd w:val="clear" w:color="auto" w:fill="9B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E2FF" w:themeFill="accent1" w:themeFillTint="33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tcBorders>
          <w:insideH w:val="single" w:sz="6" w:space="0" w:color="00456B" w:themeColor="accent1"/>
          <w:insideV w:val="single" w:sz="6" w:space="0" w:color="00456B" w:themeColor="accent1"/>
        </w:tcBorders>
        <w:shd w:val="clear" w:color="auto" w:fill="36B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cPr>
      <w:shd w:val="clear" w:color="auto" w:fill="F8E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1" w:themeFill="accent2" w:themeFillTint="33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tcBorders>
          <w:insideH w:val="single" w:sz="6" w:space="0" w:color="E58E1A" w:themeColor="accent2"/>
          <w:insideV w:val="single" w:sz="6" w:space="0" w:color="E58E1A" w:themeColor="accent2"/>
        </w:tcBorders>
        <w:shd w:val="clear" w:color="auto" w:fill="F2C6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cPr>
      <w:shd w:val="clear" w:color="auto" w:fill="F2F0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F1" w:themeFill="accent3" w:themeFillTint="33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tcBorders>
          <w:insideH w:val="single" w:sz="6" w:space="0" w:color="CDC3BD" w:themeColor="accent3"/>
          <w:insideV w:val="single" w:sz="6" w:space="0" w:color="CDC3BD" w:themeColor="accent3"/>
        </w:tcBorders>
        <w:shd w:val="clear" w:color="auto" w:fill="E6E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cPr>
      <w:shd w:val="clear" w:color="auto" w:fill="ECD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3E1" w:themeFill="accent4" w:themeFillTint="33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tcBorders>
          <w:insideH w:val="single" w:sz="6" w:space="0" w:color="B4786C" w:themeColor="accent4"/>
          <w:insideV w:val="single" w:sz="6" w:space="0" w:color="B4786C" w:themeColor="accent4"/>
        </w:tcBorders>
        <w:shd w:val="clear" w:color="auto" w:fill="D9BB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cPr>
      <w:shd w:val="clear" w:color="auto" w:fill="DBE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D" w:themeFill="accent5" w:themeFillTint="33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tcBorders>
          <w:insideH w:val="single" w:sz="6" w:space="0" w:color="6E90A6" w:themeColor="accent5"/>
          <w:insideV w:val="single" w:sz="6" w:space="0" w:color="6E90A6" w:themeColor="accent5"/>
        </w:tcBorders>
        <w:shd w:val="clear" w:color="auto" w:fill="B6C7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cPr>
      <w:shd w:val="clear" w:color="auto" w:fill="EAED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3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tcBorders>
          <w:insideH w:val="single" w:sz="6" w:space="0" w:color="ADB6A8" w:themeColor="accent6"/>
          <w:insideV w:val="single" w:sz="6" w:space="0" w:color="ADB6A8" w:themeColor="accent6"/>
        </w:tcBorders>
        <w:shd w:val="clear" w:color="auto" w:fill="D5DA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B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6B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6B7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6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68C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E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E0DE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BB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BB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7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7D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A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AD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56B" w:themeColor="accen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shd w:val="clear" w:color="auto" w:fill="9BDB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8E1A" w:themeColor="accent2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shd w:val="clear" w:color="auto" w:fill="F8E2C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C3BD" w:themeColor="accent3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shd w:val="clear" w:color="auto" w:fill="F2F0EE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786C" w:themeColor="accent4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shd w:val="clear" w:color="auto" w:fill="ECDDDA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90A6" w:themeColor="accent5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shd w:val="clear" w:color="auto" w:fill="DBE3E9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B6A8" w:themeColor="accent6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shd w:val="clear" w:color="auto" w:fill="EAEDE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56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56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56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56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B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8E1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8E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8E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DC3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C3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C3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786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786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786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90A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90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90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B6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B6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B6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B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semiHidden/>
    <w:unhideWhenUsed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17"/>
    <w:qFormat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9"/>
    <w:semiHidden/>
    <w:unhideWhenUsed/>
    <w:qFormat/>
    <w:locked/>
    <w:rsid w:val="00F80750"/>
    <w:pPr>
      <w:numPr>
        <w:ilvl w:val="1"/>
      </w:numPr>
    </w:pPr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83512"/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E58E1A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8637EC"/>
    <w:pPr>
      <w:tabs>
        <w:tab w:val="left" w:pos="635"/>
        <w:tab w:val="left" w:pos="1140"/>
        <w:tab w:val="right" w:leader="dot" w:pos="10546"/>
      </w:tabs>
      <w:spacing w:after="100"/>
      <w:ind w:left="442"/>
      <w:contextualSpacing/>
    </w:pPr>
  </w:style>
  <w:style w:type="paragraph" w:styleId="TOC3">
    <w:name w:val="toc 3"/>
    <w:basedOn w:val="Normal"/>
    <w:next w:val="Normal"/>
    <w:autoRedefine/>
    <w:uiPriority w:val="39"/>
    <w:rsid w:val="008637EC"/>
    <w:pPr>
      <w:tabs>
        <w:tab w:val="left" w:pos="1644"/>
        <w:tab w:val="left" w:pos="2030"/>
        <w:tab w:val="right" w:leader="dot" w:pos="10546"/>
      </w:tabs>
      <w:spacing w:after="100"/>
      <w:ind w:left="11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AppendixHeading">
    <w:name w:val="Appendix Heading"/>
    <w:basedOn w:val="Heading1"/>
    <w:next w:val="Normal"/>
    <w:uiPriority w:val="11"/>
    <w:qFormat/>
    <w:rsid w:val="00034A19"/>
    <w:pPr>
      <w:numPr>
        <w:ilvl w:val="5"/>
      </w:numPr>
    </w:pPr>
  </w:style>
  <w:style w:type="paragraph" w:customStyle="1" w:styleId="Notes">
    <w:name w:val="Notes"/>
    <w:basedOn w:val="Normal"/>
    <w:semiHidden/>
    <w:qFormat/>
    <w:locked/>
    <w:rsid w:val="00503A51"/>
    <w:pPr>
      <w:numPr>
        <w:ilvl w:val="4"/>
        <w:numId w:val="25"/>
      </w:numPr>
      <w:spacing w:after="240"/>
      <w:jc w:val="both"/>
    </w:pPr>
    <w:rPr>
      <w:sz w:val="20"/>
    </w:rPr>
  </w:style>
  <w:style w:type="numbering" w:customStyle="1" w:styleId="GeneralList">
    <w:name w:val="General List"/>
    <w:uiPriority w:val="99"/>
    <w:locked/>
    <w:rsid w:val="00503A51"/>
    <w:pPr>
      <w:numPr>
        <w:numId w:val="23"/>
      </w:numPr>
    </w:pPr>
  </w:style>
  <w:style w:type="numbering" w:customStyle="1" w:styleId="CustomHeadingList">
    <w:name w:val="Custom Heading List"/>
    <w:uiPriority w:val="99"/>
    <w:rsid w:val="003A3021"/>
    <w:pPr>
      <w:numPr>
        <w:numId w:val="26"/>
      </w:numPr>
    </w:pPr>
  </w:style>
  <w:style w:type="paragraph" w:customStyle="1" w:styleId="Introduction">
    <w:name w:val="Introduction"/>
    <w:basedOn w:val="Normal"/>
    <w:uiPriority w:val="10"/>
    <w:qFormat/>
    <w:rsid w:val="00012728"/>
    <w:rPr>
      <w:sz w:val="28"/>
    </w:rPr>
  </w:style>
  <w:style w:type="paragraph" w:customStyle="1" w:styleId="CoverReportNumber">
    <w:name w:val="Cover Report Number"/>
    <w:basedOn w:val="Normal"/>
    <w:uiPriority w:val="19"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19"/>
    <w:qFormat/>
    <w:rsid w:val="00755163"/>
  </w:style>
  <w:style w:type="table" w:customStyle="1" w:styleId="CustomTable">
    <w:name w:val="Custom Table"/>
    <w:basedOn w:val="TableGrid"/>
    <w:uiPriority w:val="99"/>
    <w:rsid w:val="00DC5900"/>
    <w:tblPr>
      <w:tblStyleRowBandSize w:val="1"/>
      <w:tblStyleColBandSize w:val="1"/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  <w:tblStylePr w:type="lastRow">
      <w:rPr>
        <w:b/>
      </w:rPr>
    </w:tblStylePr>
    <w:tblStylePr w:type="firstCol">
      <w:rPr>
        <w:b/>
        <w:color w:val="FFFFFF" w:themeColor="background1"/>
      </w:rPr>
      <w:tblPr/>
      <w:tcPr>
        <w:shd w:val="clear" w:color="auto" w:fill="6E90A6" w:themeFill="accent5"/>
      </w:tcPr>
    </w:tblStylePr>
    <w:tblStylePr w:type="lastCol">
      <w:pPr>
        <w:jc w:val="right"/>
      </w:pPr>
    </w:tblStylePr>
    <w:tblStylePr w:type="band2Vert">
      <w:tblPr/>
      <w:tcPr>
        <w:shd w:val="clear" w:color="auto" w:fill="F5F2F1" w:themeFill="accent3" w:themeFillTint="33"/>
      </w:tcPr>
    </w:tblStylePr>
    <w:tblStylePr w:type="band2Horz">
      <w:tblPr/>
      <w:tcPr>
        <w:shd w:val="clear" w:color="auto" w:fill="E1E8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igek\Desktop\Nillumbik%20SC%20Base%20Template%20Draft%20V1%202.dotm" TargetMode="External"/></Relationships>
</file>

<file path=word/theme/theme1.xml><?xml version="1.0" encoding="utf-8"?>
<a:theme xmlns:a="http://schemas.openxmlformats.org/drawingml/2006/main" name="Office Theme">
  <a:themeElements>
    <a:clrScheme name="Nillumbik SC">
      <a:dk1>
        <a:sysClr val="windowText" lastClr="000000"/>
      </a:dk1>
      <a:lt1>
        <a:sysClr val="window" lastClr="FFFFFF"/>
      </a:lt1>
      <a:dk2>
        <a:srgbClr val="00456B"/>
      </a:dk2>
      <a:lt2>
        <a:srgbClr val="E2E9ED"/>
      </a:lt2>
      <a:accent1>
        <a:srgbClr val="00456B"/>
      </a:accent1>
      <a:accent2>
        <a:srgbClr val="E58E1A"/>
      </a:accent2>
      <a:accent3>
        <a:srgbClr val="CDC3BD"/>
      </a:accent3>
      <a:accent4>
        <a:srgbClr val="B4786C"/>
      </a:accent4>
      <a:accent5>
        <a:srgbClr val="6E90A6"/>
      </a:accent5>
      <a:accent6>
        <a:srgbClr val="ADB6A8"/>
      </a:accent6>
      <a:hlink>
        <a:srgbClr val="E58E1A"/>
      </a:hlink>
      <a:folHlink>
        <a:srgbClr val="00456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40268-2B66-4693-977C-4D4A825A3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Nillumbik SC Base Template Draft V1 2</Template>
  <TotalTime>38</TotalTime>
  <Pages>12</Pages>
  <Words>1335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Nillumbik Shire Council</Company>
  <LinksUpToDate>false</LinksUpToDate>
  <CharactersWithSpaces>8928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Paige Krygger</dc:creator>
  <cp:lastModifiedBy>Paige Krygger</cp:lastModifiedBy>
  <cp:revision>1</cp:revision>
  <cp:lastPrinted>2014-02-02T12:10:00Z</cp:lastPrinted>
  <dcterms:created xsi:type="dcterms:W3CDTF">2014-12-30T03:03:00Z</dcterms:created>
  <dcterms:modified xsi:type="dcterms:W3CDTF">2014-12-30T03:45:00Z</dcterms:modified>
</cp:coreProperties>
</file>