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D74EB3">
        <w:t>G</w:t>
      </w:r>
      <w:r w:rsidR="00375281">
        <w:t>C</w:t>
      </w:r>
      <w:r w:rsidR="00D74EB3">
        <w:t>1</w:t>
      </w:r>
      <w:r>
        <w:t xml:space="preserve"> Guidelines</w:t>
      </w:r>
    </w:p>
    <w:p w:rsidR="00152977" w:rsidRDefault="00D74EB3" w:rsidP="00152977">
      <w:pPr>
        <w:pStyle w:val="Heading1"/>
        <w:numPr>
          <w:ilvl w:val="0"/>
          <w:numId w:val="0"/>
        </w:numPr>
        <w:ind w:left="1077" w:hanging="1077"/>
      </w:pPr>
      <w:r>
        <w:t>Apollo Parkways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 xml:space="preserve">Retain all </w:t>
            </w:r>
            <w:r w:rsidR="00375281">
              <w:t xml:space="preserve">remnant </w:t>
            </w:r>
            <w:r w:rsidRPr="00064B78">
              <w:t>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370A81" w:rsidRPr="00176C6A" w:rsidRDefault="00D74EB3" w:rsidP="00D74EB3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Pr="00152977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743F8B" w:rsidRPr="00743F8B" w:rsidRDefault="00743F8B" w:rsidP="00743F8B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  <w:p w:rsidR="00370A81" w:rsidRPr="00176C6A" w:rsidRDefault="00370A81" w:rsidP="00743F8B"/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 xml:space="preserve">Minimise the use of </w:t>
            </w:r>
            <w:r w:rsidRPr="007E37D7">
              <w:lastRenderedPageBreak/>
              <w:t>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lastRenderedPageBreak/>
              <w:t>Use of a mixture of materials.</w:t>
            </w:r>
          </w:p>
          <w:p w:rsidR="00370A81" w:rsidRPr="00176C6A" w:rsidRDefault="00743F8B" w:rsidP="00743F8B">
            <w:r w:rsidRPr="00743F8B">
              <w:t xml:space="preserve">Batters that exceed a slope </w:t>
            </w:r>
            <w:r w:rsidRPr="00743F8B">
              <w:lastRenderedPageBreak/>
              <w:t>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 xml:space="preserve">Dwellings </w:t>
            </w:r>
            <w:r w:rsidR="00375281">
              <w:t>or other buildings set</w:t>
            </w:r>
            <w:r w:rsidRPr="00064B78">
              <w:t xml:space="preserve"> further forward</w:t>
            </w:r>
            <w:r w:rsidR="00944DBE">
              <w:t xml:space="preserve"> of</w:t>
            </w:r>
            <w:r w:rsidRPr="00064B78">
              <w:t xml:space="preserve">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  <w:p w:rsidR="00944DBE" w:rsidRPr="00152977" w:rsidRDefault="00944DBE" w:rsidP="00944DBE">
            <w:r w:rsidRPr="00944DBE">
              <w:t>In areas with fewer trees, match the</w:t>
            </w:r>
            <w:r>
              <w:t xml:space="preserve"> </w:t>
            </w:r>
            <w:r w:rsidRPr="00944DBE">
              <w:t xml:space="preserve">dominant height </w:t>
            </w:r>
            <w:r w:rsidRPr="00944DBE">
              <w:lastRenderedPageBreak/>
              <w:t>within the street. Where</w:t>
            </w:r>
            <w:r>
              <w:t xml:space="preserve"> </w:t>
            </w:r>
            <w:r w:rsidRPr="00944DBE">
              <w:t>there is a dominance of single storey</w:t>
            </w:r>
            <w:r>
              <w:t xml:space="preserve"> </w:t>
            </w:r>
            <w:r w:rsidRPr="00944DBE">
              <w:t>buildings, the height of the front of the</w:t>
            </w:r>
            <w:r>
              <w:t xml:space="preserve"> </w:t>
            </w:r>
            <w:r w:rsidRPr="00944DBE">
              <w:t>dwelling should match nearby single storey</w:t>
            </w:r>
            <w:r>
              <w:t xml:space="preserve"> </w:t>
            </w:r>
            <w:r w:rsidRPr="00944DBE">
              <w:t>wall heights.</w:t>
            </w:r>
          </w:p>
        </w:tc>
        <w:tc>
          <w:tcPr>
            <w:tcW w:w="3190" w:type="dxa"/>
          </w:tcPr>
          <w:p w:rsidR="00064B78" w:rsidRDefault="00944DBE" w:rsidP="00944DBE">
            <w:r w:rsidRPr="00944DBE">
              <w:lastRenderedPageBreak/>
              <w:t>Building heights which are out of scale</w:t>
            </w:r>
            <w:r>
              <w:t xml:space="preserve"> </w:t>
            </w:r>
            <w:r w:rsidRPr="00944DBE">
              <w:t>with the neighbouring buildings.</w:t>
            </w:r>
          </w:p>
          <w:p w:rsidR="00D74EB3" w:rsidRPr="00D74EB3" w:rsidRDefault="00D74EB3" w:rsidP="00D74EB3">
            <w:r w:rsidRPr="00D74EB3">
              <w:t>Buildings that penetrate the tree canopy.</w:t>
            </w:r>
          </w:p>
          <w:p w:rsidR="00D74EB3" w:rsidRPr="00176C6A" w:rsidRDefault="00D74EB3" w:rsidP="00D74EB3">
            <w:r w:rsidRPr="00D74EB3">
              <w:t>Buildings that protrude above the ridgeline.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064B78" w:rsidRPr="00064B78" w:rsidRDefault="00064B78" w:rsidP="00064B78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  <w:p w:rsidR="00370A81" w:rsidRPr="00152977" w:rsidRDefault="00370A81" w:rsidP="00064B78"/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944DBE" w:rsidRPr="00944DBE" w:rsidRDefault="00944DBE" w:rsidP="00944DBE">
            <w:r w:rsidRPr="00944DBE">
              <w:t>Long straight ‘gun barrel’ effect driveways</w:t>
            </w:r>
            <w:r>
              <w:t xml:space="preserve"> </w:t>
            </w:r>
            <w:r w:rsidRPr="00944DBE">
              <w:t>and exposed side fences.</w:t>
            </w:r>
          </w:p>
          <w:p w:rsidR="00370A81" w:rsidRPr="00176C6A" w:rsidRDefault="00D74EB3" w:rsidP="00944DBE">
            <w:r w:rsidRPr="00D74EB3">
              <w:t>Significant excavation works.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D74EB3" w:rsidP="00D74EB3">
            <w:r w:rsidRPr="00D74EB3">
              <w:t>Provide no front fencing or side fencing</w:t>
            </w:r>
            <w:r>
              <w:t xml:space="preserve"> </w:t>
            </w:r>
            <w:r w:rsidRPr="00D74EB3">
              <w:t>visible from the street.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t>Solid front fences and brick 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D74EB3" w:rsidRDefault="00D74EB3" w:rsidP="00D74EB3">
            <w:r w:rsidRPr="00D74EB3">
              <w:t>Large areas of hard paving in the front</w:t>
            </w:r>
            <w:r>
              <w:t xml:space="preserve"> </w:t>
            </w:r>
            <w:r w:rsidRPr="00D74EB3">
              <w:t>garden area.</w:t>
            </w:r>
          </w:p>
          <w:p w:rsidR="00152977" w:rsidRDefault="00176C6A" w:rsidP="00D74EB3"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  <w:p w:rsidR="00F2030E" w:rsidRDefault="00F2030E" w:rsidP="00F2030E">
            <w:r w:rsidRPr="00F2030E">
              <w:t xml:space="preserve">Constructed gateways and </w:t>
            </w:r>
            <w:r w:rsidRPr="00F2030E">
              <w:lastRenderedPageBreak/>
              <w:t>major retaining</w:t>
            </w:r>
            <w:r>
              <w:t xml:space="preserve"> </w:t>
            </w:r>
            <w:r w:rsidRPr="00F2030E">
              <w:t>walls.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944DBE">
            <w:r w:rsidRPr="00064B78">
              <w:t>Large west facing windows.</w:t>
            </w:r>
          </w:p>
          <w:p w:rsidR="00152977" w:rsidRDefault="00176C6A" w:rsidP="00944DBE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944DBE">
            <w:r w:rsidRPr="00152977">
              <w:t>Contain all building materials and site waste.</w:t>
            </w:r>
          </w:p>
          <w:p w:rsidR="00152977" w:rsidRDefault="00152977" w:rsidP="00944DBE"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944DBE"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944DBE"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944DBE"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944DBE"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944DBE"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944DBE" w:rsidP="00944DBE">
            <w:r w:rsidRPr="00944DBE">
              <w:t>Retain and replant Australian native canopy</w:t>
            </w:r>
            <w:r>
              <w:t xml:space="preserve"> </w:t>
            </w:r>
            <w:r w:rsidRPr="00944DBE">
              <w:t>trees within the street space in continuous</w:t>
            </w:r>
            <w:r>
              <w:t xml:space="preserve"> </w:t>
            </w:r>
            <w:r w:rsidRPr="00944DBE">
              <w:t>avenue plantings.</w:t>
            </w:r>
          </w:p>
        </w:tc>
        <w:tc>
          <w:tcPr>
            <w:tcW w:w="3216" w:type="dxa"/>
          </w:tcPr>
          <w:p w:rsidR="00176C6A" w:rsidRPr="00176C6A" w:rsidRDefault="00176C6A" w:rsidP="00944DBE"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944DBE" w:rsidP="00944DBE">
            <w:r w:rsidRPr="00944DBE">
              <w:t>Intermittent new plantings that are not the</w:t>
            </w:r>
            <w:r>
              <w:t xml:space="preserve"> </w:t>
            </w:r>
            <w:r w:rsidRPr="00944DBE">
              <w:t>dominant 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 xml:space="preserve">To retain the bushland </w:t>
            </w:r>
            <w:r w:rsidRPr="00152977">
              <w:lastRenderedPageBreak/>
              <w:t>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152977" w:rsidRDefault="00F2030E" w:rsidP="00F2030E">
            <w:r w:rsidRPr="00F2030E">
              <w:lastRenderedPageBreak/>
              <w:t>Retain and enhance the garden landscape to</w:t>
            </w:r>
            <w:r>
              <w:t xml:space="preserve"> </w:t>
            </w:r>
            <w:r w:rsidRPr="00F2030E">
              <w:t xml:space="preserve">the </w:t>
            </w:r>
            <w:r w:rsidRPr="00F2030E">
              <w:lastRenderedPageBreak/>
              <w:t>road or footpath edge.</w:t>
            </w:r>
          </w:p>
          <w:p w:rsidR="00F2030E" w:rsidRPr="00F2030E" w:rsidRDefault="00F2030E" w:rsidP="00F2030E">
            <w:r w:rsidRPr="00F2030E">
              <w:t>Continue paved footpaths on all key routes.</w:t>
            </w:r>
          </w:p>
          <w:p w:rsidR="00F2030E" w:rsidRDefault="00F2030E" w:rsidP="00F2030E">
            <w:r w:rsidRPr="00F2030E">
              <w:t>In new areas encourage informal layouts of</w:t>
            </w:r>
            <w:r>
              <w:t xml:space="preserve"> </w:t>
            </w:r>
            <w:r w:rsidRPr="00F2030E">
              <w:t>footpaths to follow contours and respect</w:t>
            </w:r>
            <w:r>
              <w:t xml:space="preserve"> </w:t>
            </w:r>
            <w:r w:rsidRPr="00F2030E">
              <w:t>existing stands of trees.</w:t>
            </w:r>
          </w:p>
        </w:tc>
        <w:tc>
          <w:tcPr>
            <w:tcW w:w="3216" w:type="dxa"/>
          </w:tcPr>
          <w:p w:rsidR="00152977" w:rsidRDefault="00F2030E" w:rsidP="00944DBE">
            <w:pPr>
              <w:pStyle w:val="ListBullet"/>
              <w:numPr>
                <w:ilvl w:val="0"/>
                <w:numId w:val="0"/>
              </w:numPr>
            </w:pPr>
            <w:r w:rsidRPr="00F2030E">
              <w:lastRenderedPageBreak/>
              <w:t>Long 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944DBE" w:rsidP="00F2030E">
            <w:r w:rsidRPr="00944DBE">
              <w:t>Some traffic calming may be appropriate in</w:t>
            </w:r>
            <w:r>
              <w:t xml:space="preserve"> </w:t>
            </w:r>
            <w:r w:rsidRPr="00944DBE">
              <w:t>some locations.</w:t>
            </w:r>
          </w:p>
        </w:tc>
        <w:tc>
          <w:tcPr>
            <w:tcW w:w="3216" w:type="dxa"/>
          </w:tcPr>
          <w:p w:rsidR="00152977" w:rsidRDefault="00152977" w:rsidP="00944DBE"/>
        </w:tc>
      </w:tr>
    </w:tbl>
    <w:p w:rsidR="00370A81" w:rsidRPr="00370A81" w:rsidRDefault="00370A81" w:rsidP="00370A81">
      <w:r w:rsidRPr="00370A81">
        <w:t>Key Characteristics</w:t>
      </w:r>
    </w:p>
    <w:p w:rsidR="00F2030E" w:rsidRPr="00F2030E" w:rsidRDefault="00F2030E" w:rsidP="00F2030E">
      <w:pPr>
        <w:pStyle w:val="ListBullet"/>
      </w:pPr>
      <w:r w:rsidRPr="00F2030E">
        <w:t>Rolling to hilly topography.</w:t>
      </w:r>
    </w:p>
    <w:p w:rsidR="00F2030E" w:rsidRPr="00F2030E" w:rsidRDefault="00F2030E" w:rsidP="00F2030E">
      <w:pPr>
        <w:pStyle w:val="ListBullet"/>
      </w:pPr>
      <w:r w:rsidRPr="00F2030E">
        <w:t>Curvilinear street layout with many courts.</w:t>
      </w:r>
    </w:p>
    <w:p w:rsidR="00F2030E" w:rsidRPr="00F2030E" w:rsidRDefault="00F2030E" w:rsidP="00F2030E">
      <w:pPr>
        <w:pStyle w:val="ListBullet"/>
      </w:pPr>
      <w:r w:rsidRPr="00F2030E">
        <w:t>Sealed roa</w:t>
      </w:r>
      <w:r>
        <w:t xml:space="preserve">ds, generally </w:t>
      </w:r>
      <w:proofErr w:type="spellStart"/>
      <w:r>
        <w:t>upstand</w:t>
      </w:r>
      <w:proofErr w:type="spellEnd"/>
      <w:r>
        <w:t xml:space="preserve"> kerbs and </w:t>
      </w:r>
      <w:r w:rsidRPr="00F2030E">
        <w:t>footpaths both sides.</w:t>
      </w:r>
    </w:p>
    <w:p w:rsidR="00F2030E" w:rsidRPr="00F2030E" w:rsidRDefault="00F2030E" w:rsidP="00F2030E">
      <w:pPr>
        <w:pStyle w:val="ListBullet"/>
      </w:pPr>
      <w:r w:rsidRPr="00F2030E">
        <w:t>1970s - 1980s dwellings:</w:t>
      </w:r>
    </w:p>
    <w:p w:rsidR="00F2030E" w:rsidRPr="00F2030E" w:rsidRDefault="00F2030E" w:rsidP="00F2030E">
      <w:pPr>
        <w:pStyle w:val="ListBullet2"/>
      </w:pPr>
      <w:r w:rsidRPr="00F2030E">
        <w:t>predominantly low hipped or split gable roof forms</w:t>
      </w:r>
    </w:p>
    <w:p w:rsidR="00F2030E" w:rsidRPr="00F2030E" w:rsidRDefault="00F2030E" w:rsidP="00F2030E">
      <w:pPr>
        <w:pStyle w:val="ListBullet2"/>
      </w:pPr>
      <w:proofErr w:type="gramStart"/>
      <w:r w:rsidRPr="00F2030E">
        <w:t>frequently</w:t>
      </w:r>
      <w:proofErr w:type="gramEnd"/>
      <w:r w:rsidRPr="00F2030E">
        <w:t xml:space="preserve"> two-storey.</w:t>
      </w:r>
    </w:p>
    <w:p w:rsidR="00F2030E" w:rsidRPr="00F2030E" w:rsidRDefault="00F2030E" w:rsidP="00F2030E">
      <w:pPr>
        <w:pStyle w:val="ListBullet"/>
      </w:pPr>
      <w:r w:rsidRPr="00F2030E">
        <w:t>Reasonably veget</w:t>
      </w:r>
      <w:r>
        <w:t xml:space="preserve">ated in parts, with significant maturing canopy </w:t>
      </w:r>
      <w:r w:rsidRPr="00F2030E">
        <w:t>trees, occurring at one for every 200m2.</w:t>
      </w:r>
    </w:p>
    <w:p w:rsidR="00F2030E" w:rsidRDefault="00F2030E" w:rsidP="00F2030E">
      <w:pPr>
        <w:pStyle w:val="ListBullet"/>
      </w:pPr>
      <w:r w:rsidRPr="00F2030E">
        <w:t>Mix of nati</w:t>
      </w:r>
      <w:r>
        <w:t xml:space="preserve">ve and exotic </w:t>
      </w:r>
      <w:proofErr w:type="gramStart"/>
      <w:r>
        <w:t>vegetation,</w:t>
      </w:r>
      <w:proofErr w:type="gramEnd"/>
      <w:r>
        <w:t xml:space="preserve"> often </w:t>
      </w:r>
      <w:r w:rsidRPr="00F2030E">
        <w:t>terraced gardens.</w:t>
      </w:r>
    </w:p>
    <w:p w:rsidR="00324A69" w:rsidRDefault="00064B78" w:rsidP="00F2030E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 xml:space="preserve">properties and the </w:t>
      </w:r>
      <w:r w:rsidRPr="00324A69">
        <w:lastRenderedPageBreak/>
        <w:t>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324A69" w:rsidRDefault="00324A69" w:rsidP="00324A69">
      <w:proofErr w:type="gramStart"/>
      <w:r w:rsidRPr="00324A69">
        <w:t>Large, bulky dwellings that dominate the</w:t>
      </w:r>
      <w:r>
        <w:t xml:space="preserve"> </w:t>
      </w:r>
      <w:r w:rsidRPr="00324A69">
        <w:t>landscape and penetrate the tree canopy.</w:t>
      </w:r>
      <w:proofErr w:type="gramEnd"/>
      <w:r>
        <w:t xml:space="preserve"> </w:t>
      </w:r>
      <w:proofErr w:type="gramStart"/>
      <w:r w:rsidRPr="00324A69">
        <w:t>Loss of canopy trees.</w:t>
      </w:r>
      <w:proofErr w:type="gramEnd"/>
      <w:r>
        <w:t xml:space="preserve"> </w:t>
      </w:r>
      <w:proofErr w:type="gramStart"/>
      <w:r w:rsidRPr="00324A69">
        <w:t>Removal of indigenous or native vegetation.</w:t>
      </w:r>
      <w:proofErr w:type="gramEnd"/>
      <w:r>
        <w:t xml:space="preserve"> </w:t>
      </w:r>
      <w:proofErr w:type="gramStart"/>
      <w:r w:rsidRPr="00324A69">
        <w:t>Formal gardens with exotic plantings that do</w:t>
      </w:r>
      <w:r>
        <w:t xml:space="preserve"> </w:t>
      </w:r>
      <w:r w:rsidRPr="00324A69">
        <w:t>not blend with roadside vegetation.</w:t>
      </w:r>
      <w:proofErr w:type="gramEnd"/>
      <w:r>
        <w:t xml:space="preserve"> </w:t>
      </w:r>
      <w:proofErr w:type="gramStart"/>
      <w:r w:rsidRPr="00324A69">
        <w:t>Introduction of front fences where no front</w:t>
      </w:r>
      <w:r>
        <w:t xml:space="preserve"> </w:t>
      </w:r>
      <w:r w:rsidRPr="00324A69">
        <w:t>fences is the dominant pattern.</w:t>
      </w:r>
      <w:proofErr w:type="gramEnd"/>
      <w:r>
        <w:t xml:space="preserve"> </w:t>
      </w:r>
      <w:r w:rsidRPr="00324A69">
        <w:t>Extensive earth works and excavation for</w:t>
      </w:r>
      <w:r>
        <w:t xml:space="preserve"> </w:t>
      </w:r>
      <w:r w:rsidRPr="00324A69">
        <w:t>access driveways, dwellings or car parking.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F2030E" w:rsidRDefault="00F2030E" w:rsidP="00F2030E">
      <w:r w:rsidRPr="00F2030E">
        <w:t>Vegetation dominates long distance views, the skyline of streetscape views, and front</w:t>
      </w:r>
      <w:r>
        <w:t xml:space="preserve"> </w:t>
      </w:r>
      <w:r w:rsidRPr="00F2030E">
        <w:t>gardens.</w:t>
      </w:r>
    </w:p>
    <w:p w:rsidR="00743F8B" w:rsidRPr="00743F8B" w:rsidRDefault="00743F8B" w:rsidP="00F2030E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lastRenderedPageBreak/>
        <w:t>Buildings and structures, which are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E47A27" w:rsidP="00743F8B">
      <w:r w:rsidRPr="00E47A27">
        <w:t>Exterior finishes that blend with existing dwellings.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>
      <w:bookmarkStart w:id="0" w:name="_GoBack"/>
      <w:bookmarkEnd w:id="0"/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00" w:rsidRPr="000D4EDE" w:rsidRDefault="004D3C00" w:rsidP="000D4EDE">
      <w:r>
        <w:separator/>
      </w:r>
    </w:p>
  </w:endnote>
  <w:endnote w:type="continuationSeparator" w:id="0">
    <w:p w:rsidR="004D3C00" w:rsidRPr="000D4EDE" w:rsidRDefault="004D3C00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00" w:rsidRPr="000D4EDE" w:rsidRDefault="004D3C00" w:rsidP="000D4EDE">
      <w:r>
        <w:separator/>
      </w:r>
    </w:p>
  </w:footnote>
  <w:footnote w:type="continuationSeparator" w:id="0">
    <w:p w:rsidR="004D3C00" w:rsidRPr="000D4EDE" w:rsidRDefault="004D3C00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D2FC4"/>
    <w:rsid w:val="008F66EC"/>
    <w:rsid w:val="00906799"/>
    <w:rsid w:val="00924152"/>
    <w:rsid w:val="0093194D"/>
    <w:rsid w:val="00934C3F"/>
    <w:rsid w:val="009417AE"/>
    <w:rsid w:val="00944DBE"/>
    <w:rsid w:val="00952D4C"/>
    <w:rsid w:val="009979F4"/>
    <w:rsid w:val="009A45B2"/>
    <w:rsid w:val="009C3141"/>
    <w:rsid w:val="009D2DDD"/>
    <w:rsid w:val="009F1C86"/>
    <w:rsid w:val="00A24D11"/>
    <w:rsid w:val="00A33802"/>
    <w:rsid w:val="00A37E51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E976-F8ED-4A40-B45A-988CE51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5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4</cp:revision>
  <cp:lastPrinted>2014-02-02T12:10:00Z</cp:lastPrinted>
  <dcterms:created xsi:type="dcterms:W3CDTF">2015-01-28T05:16:00Z</dcterms:created>
  <dcterms:modified xsi:type="dcterms:W3CDTF">2015-01-28T05:20:00Z</dcterms:modified>
</cp:coreProperties>
</file>